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2115"/>
        <w:gridCol w:w="1952"/>
        <w:gridCol w:w="3407"/>
      </w:tblGrid>
      <w:tr w:rsidR="0036658E" w:rsidRPr="00692FB8" w14:paraId="44BACD97" w14:textId="77777777" w:rsidTr="0092382C">
        <w:trPr>
          <w:trHeight w:val="350"/>
        </w:trPr>
        <w:tc>
          <w:tcPr>
            <w:tcW w:w="9356" w:type="dxa"/>
            <w:gridSpan w:val="4"/>
            <w:tcBorders>
              <w:top w:val="nil"/>
              <w:left w:val="nil"/>
              <w:bottom w:val="nil"/>
              <w:right w:val="nil"/>
            </w:tcBorders>
            <w:shd w:val="clear" w:color="auto" w:fill="000000"/>
          </w:tcPr>
          <w:p w14:paraId="07939B55" w14:textId="77777777" w:rsidR="0036658E" w:rsidRPr="00115EC6" w:rsidRDefault="0036658E" w:rsidP="0092382C">
            <w:pPr>
              <w:pStyle w:val="TableParagraph"/>
              <w:spacing w:before="47"/>
              <w:ind w:left="112"/>
              <w:rPr>
                <w:rFonts w:ascii="Gilroy-Medium" w:hAnsi="Gilroy-Medium"/>
                <w:b/>
                <w:sz w:val="20"/>
                <w:szCs w:val="20"/>
              </w:rPr>
            </w:pPr>
            <w:r w:rsidRPr="00115EC6">
              <w:rPr>
                <w:rFonts w:ascii="Gilroy-Medium" w:hAnsi="Gilroy-Medium"/>
                <w:b/>
                <w:color w:val="FFFFFF"/>
                <w:sz w:val="20"/>
                <w:szCs w:val="20"/>
              </w:rPr>
              <w:t>PROTECTION OF PRIVACY POLICY</w:t>
            </w:r>
          </w:p>
        </w:tc>
      </w:tr>
      <w:tr w:rsidR="0036658E" w:rsidRPr="00692FB8" w14:paraId="0985987B" w14:textId="77777777" w:rsidTr="0092382C">
        <w:trPr>
          <w:trHeight w:val="500"/>
        </w:trPr>
        <w:tc>
          <w:tcPr>
            <w:tcW w:w="1882" w:type="dxa"/>
            <w:tcBorders>
              <w:top w:val="nil"/>
              <w:right w:val="single" w:sz="6" w:space="0" w:color="000000"/>
            </w:tcBorders>
            <w:shd w:val="clear" w:color="auto" w:fill="185A7D"/>
          </w:tcPr>
          <w:p w14:paraId="4D6DFF28" w14:textId="77777777" w:rsidR="0036658E" w:rsidRPr="00115EC6" w:rsidRDefault="0036658E" w:rsidP="0092382C">
            <w:pPr>
              <w:pStyle w:val="TableParagraph"/>
              <w:spacing w:before="59"/>
              <w:rPr>
                <w:rFonts w:ascii="Gilroy-Medium" w:hAnsi="Gilroy-Medium"/>
                <w:b/>
                <w:sz w:val="20"/>
                <w:szCs w:val="20"/>
              </w:rPr>
            </w:pPr>
            <w:r w:rsidRPr="00115EC6">
              <w:rPr>
                <w:rFonts w:ascii="Gilroy-Medium" w:hAnsi="Gilroy-Medium"/>
                <w:b/>
                <w:color w:val="FFFFFF"/>
                <w:spacing w:val="-1"/>
                <w:sz w:val="20"/>
                <w:szCs w:val="20"/>
              </w:rPr>
              <w:t>Effective</w:t>
            </w:r>
            <w:r w:rsidRPr="00115EC6">
              <w:rPr>
                <w:rFonts w:ascii="Gilroy-Medium" w:hAnsi="Gilroy-Medium"/>
                <w:b/>
                <w:color w:val="FFFFFF"/>
                <w:spacing w:val="-16"/>
                <w:sz w:val="20"/>
                <w:szCs w:val="20"/>
              </w:rPr>
              <w:t xml:space="preserve"> </w:t>
            </w:r>
            <w:r w:rsidRPr="00115EC6">
              <w:rPr>
                <w:rFonts w:ascii="Gilroy-Medium" w:hAnsi="Gilroy-Medium"/>
                <w:b/>
                <w:color w:val="FFFFFF"/>
                <w:sz w:val="20"/>
                <w:szCs w:val="20"/>
              </w:rPr>
              <w:t>Date</w:t>
            </w:r>
          </w:p>
        </w:tc>
        <w:tc>
          <w:tcPr>
            <w:tcW w:w="2115" w:type="dxa"/>
            <w:tcBorders>
              <w:top w:val="nil"/>
              <w:left w:val="single" w:sz="6" w:space="0" w:color="000000"/>
            </w:tcBorders>
          </w:tcPr>
          <w:p w14:paraId="0FE2918D" w14:textId="4EC2B6C4" w:rsidR="0036658E" w:rsidRPr="00115EC6" w:rsidRDefault="001373FA" w:rsidP="0092382C">
            <w:pPr>
              <w:pStyle w:val="TableParagraph"/>
              <w:spacing w:before="67"/>
              <w:ind w:left="105"/>
              <w:rPr>
                <w:rFonts w:ascii="Gilroy-Medium" w:hAnsi="Gilroy-Medium"/>
                <w:sz w:val="20"/>
                <w:szCs w:val="20"/>
              </w:rPr>
            </w:pPr>
            <w:r>
              <w:rPr>
                <w:rFonts w:ascii="Gilroy-Medium" w:hAnsi="Gilroy-Medium"/>
                <w:sz w:val="20"/>
                <w:szCs w:val="20"/>
              </w:rPr>
              <w:t>September 1, 2023</w:t>
            </w:r>
          </w:p>
        </w:tc>
        <w:tc>
          <w:tcPr>
            <w:tcW w:w="1952" w:type="dxa"/>
            <w:tcBorders>
              <w:top w:val="nil"/>
            </w:tcBorders>
            <w:shd w:val="clear" w:color="auto" w:fill="185A7D"/>
          </w:tcPr>
          <w:p w14:paraId="01F696E8" w14:textId="77777777" w:rsidR="0036658E" w:rsidRPr="00115EC6" w:rsidRDefault="0036658E" w:rsidP="0092382C">
            <w:pPr>
              <w:pStyle w:val="TableParagraph"/>
              <w:spacing w:before="59"/>
              <w:rPr>
                <w:rFonts w:ascii="Gilroy-Medium" w:hAnsi="Gilroy-Medium"/>
                <w:b/>
                <w:sz w:val="20"/>
                <w:szCs w:val="20"/>
              </w:rPr>
            </w:pPr>
            <w:r w:rsidRPr="00115EC6">
              <w:rPr>
                <w:rFonts w:ascii="Gilroy-Medium" w:hAnsi="Gilroy-Medium"/>
                <w:b/>
                <w:color w:val="FFFFFF"/>
                <w:w w:val="95"/>
                <w:sz w:val="20"/>
                <w:szCs w:val="20"/>
              </w:rPr>
              <w:t>Policy</w:t>
            </w:r>
            <w:r w:rsidRPr="00115EC6">
              <w:rPr>
                <w:rFonts w:ascii="Gilroy-Medium" w:hAnsi="Gilroy-Medium"/>
                <w:b/>
                <w:color w:val="FFFFFF"/>
                <w:spacing w:val="6"/>
                <w:w w:val="95"/>
                <w:sz w:val="20"/>
                <w:szCs w:val="20"/>
              </w:rPr>
              <w:t xml:space="preserve"> </w:t>
            </w:r>
            <w:r w:rsidRPr="00115EC6">
              <w:rPr>
                <w:rFonts w:ascii="Gilroy-Medium" w:hAnsi="Gilroy-Medium"/>
                <w:b/>
                <w:color w:val="FFFFFF"/>
                <w:w w:val="95"/>
                <w:sz w:val="20"/>
                <w:szCs w:val="20"/>
              </w:rPr>
              <w:t>Type</w:t>
            </w:r>
          </w:p>
        </w:tc>
        <w:tc>
          <w:tcPr>
            <w:tcW w:w="3407" w:type="dxa"/>
            <w:tcBorders>
              <w:top w:val="nil"/>
            </w:tcBorders>
          </w:tcPr>
          <w:p w14:paraId="6C07FD19" w14:textId="77777777" w:rsidR="0036658E" w:rsidRPr="00115EC6" w:rsidRDefault="0036658E" w:rsidP="0092382C">
            <w:pPr>
              <w:pStyle w:val="TableParagraph"/>
              <w:spacing w:before="67"/>
              <w:ind w:left="106"/>
              <w:rPr>
                <w:rFonts w:ascii="Gilroy-Medium" w:hAnsi="Gilroy-Medium"/>
                <w:sz w:val="20"/>
                <w:szCs w:val="20"/>
              </w:rPr>
            </w:pPr>
            <w:r w:rsidRPr="00115EC6">
              <w:rPr>
                <w:rFonts w:ascii="Gilroy-Medium" w:hAnsi="Gilroy-Medium"/>
                <w:sz w:val="20"/>
                <w:szCs w:val="20"/>
              </w:rPr>
              <w:t>Administrative</w:t>
            </w:r>
          </w:p>
        </w:tc>
      </w:tr>
      <w:tr w:rsidR="0036658E" w:rsidRPr="00692FB8" w14:paraId="72AAA800" w14:textId="77777777" w:rsidTr="0092382C">
        <w:trPr>
          <w:trHeight w:val="1165"/>
        </w:trPr>
        <w:tc>
          <w:tcPr>
            <w:tcW w:w="1882" w:type="dxa"/>
            <w:tcBorders>
              <w:right w:val="single" w:sz="6" w:space="0" w:color="000000"/>
            </w:tcBorders>
            <w:shd w:val="clear" w:color="auto" w:fill="185A7D"/>
          </w:tcPr>
          <w:p w14:paraId="65375C8E" w14:textId="77777777" w:rsidR="0036658E" w:rsidRPr="00115EC6" w:rsidRDefault="0036658E" w:rsidP="0092382C">
            <w:pPr>
              <w:pStyle w:val="TableParagraph"/>
              <w:spacing w:before="52"/>
              <w:rPr>
                <w:rFonts w:ascii="Gilroy-Medium" w:hAnsi="Gilroy-Medium"/>
                <w:b/>
                <w:sz w:val="20"/>
                <w:szCs w:val="20"/>
              </w:rPr>
            </w:pPr>
            <w:r w:rsidRPr="00115EC6">
              <w:rPr>
                <w:rFonts w:ascii="Gilroy-Medium" w:hAnsi="Gilroy-Medium"/>
                <w:b/>
                <w:color w:val="FFFFFF"/>
                <w:sz w:val="20"/>
                <w:szCs w:val="20"/>
              </w:rPr>
              <w:t>Responsibility</w:t>
            </w:r>
          </w:p>
        </w:tc>
        <w:tc>
          <w:tcPr>
            <w:tcW w:w="2115" w:type="dxa"/>
            <w:tcBorders>
              <w:left w:val="single" w:sz="6" w:space="0" w:color="000000"/>
            </w:tcBorders>
          </w:tcPr>
          <w:p w14:paraId="17E6A46E" w14:textId="77777777" w:rsidR="0036658E" w:rsidRPr="00115EC6" w:rsidRDefault="0036658E" w:rsidP="0092382C">
            <w:pPr>
              <w:pStyle w:val="TableParagraph"/>
              <w:spacing w:before="57"/>
              <w:ind w:left="105" w:right="384"/>
              <w:rPr>
                <w:rFonts w:ascii="Gilroy-Medium" w:hAnsi="Gilroy-Medium"/>
                <w:sz w:val="20"/>
                <w:szCs w:val="20"/>
              </w:rPr>
            </w:pPr>
            <w:r w:rsidRPr="00115EC6">
              <w:rPr>
                <w:rFonts w:ascii="Gilroy-Medium" w:hAnsi="Gilroy-Medium"/>
                <w:sz w:val="20"/>
                <w:szCs w:val="20"/>
              </w:rPr>
              <w:t>Vice-President, Corporate Services</w:t>
            </w:r>
          </w:p>
        </w:tc>
        <w:tc>
          <w:tcPr>
            <w:tcW w:w="1952" w:type="dxa"/>
            <w:shd w:val="clear" w:color="auto" w:fill="185A7D"/>
          </w:tcPr>
          <w:p w14:paraId="063ED892" w14:textId="77777777" w:rsidR="0036658E" w:rsidRPr="00115EC6" w:rsidRDefault="0036658E" w:rsidP="0092382C">
            <w:pPr>
              <w:pStyle w:val="TableParagraph"/>
              <w:spacing w:before="52"/>
              <w:rPr>
                <w:rFonts w:ascii="Gilroy-Medium" w:hAnsi="Gilroy-Medium"/>
                <w:b/>
                <w:sz w:val="20"/>
                <w:szCs w:val="20"/>
              </w:rPr>
            </w:pPr>
            <w:r w:rsidRPr="00115EC6">
              <w:rPr>
                <w:rFonts w:ascii="Gilroy-Medium" w:hAnsi="Gilroy-Medium"/>
                <w:b/>
                <w:color w:val="FFFFFF"/>
                <w:sz w:val="20"/>
                <w:szCs w:val="20"/>
              </w:rPr>
              <w:t>Cross-Reference</w:t>
            </w:r>
          </w:p>
        </w:tc>
        <w:tc>
          <w:tcPr>
            <w:tcW w:w="3407" w:type="dxa"/>
          </w:tcPr>
          <w:p w14:paraId="34070CE4" w14:textId="77777777" w:rsidR="0036658E" w:rsidRPr="00115EC6" w:rsidRDefault="0036658E" w:rsidP="0036658E">
            <w:pPr>
              <w:pStyle w:val="ListParagraph"/>
              <w:widowControl/>
              <w:numPr>
                <w:ilvl w:val="0"/>
                <w:numId w:val="6"/>
              </w:numPr>
              <w:autoSpaceDE/>
              <w:autoSpaceDN/>
              <w:spacing w:before="60" w:after="60" w:line="23" w:lineRule="atLeast"/>
              <w:ind w:left="320" w:hanging="283"/>
              <w:contextualSpacing/>
              <w:rPr>
                <w:rFonts w:ascii="Gilroy-Medium" w:hAnsi="Gilroy-Medium"/>
                <w:sz w:val="20"/>
                <w:szCs w:val="20"/>
              </w:rPr>
            </w:pPr>
            <w:r w:rsidRPr="00115EC6">
              <w:rPr>
                <w:rFonts w:ascii="Gilroy-Medium" w:hAnsi="Gilroy-Medium"/>
                <w:sz w:val="20"/>
                <w:szCs w:val="20"/>
              </w:rPr>
              <w:t>Records Management Policy</w:t>
            </w:r>
          </w:p>
          <w:p w14:paraId="0D8654FB" w14:textId="77777777" w:rsidR="0036658E" w:rsidRPr="00115EC6" w:rsidRDefault="0036658E" w:rsidP="0036658E">
            <w:pPr>
              <w:pStyle w:val="ListParagraph"/>
              <w:widowControl/>
              <w:numPr>
                <w:ilvl w:val="0"/>
                <w:numId w:val="6"/>
              </w:numPr>
              <w:autoSpaceDE/>
              <w:autoSpaceDN/>
              <w:spacing w:before="60" w:after="60" w:line="23" w:lineRule="atLeast"/>
              <w:ind w:left="320" w:hanging="283"/>
              <w:contextualSpacing/>
              <w:rPr>
                <w:rFonts w:ascii="Gilroy-Medium" w:hAnsi="Gilroy-Medium"/>
                <w:sz w:val="20"/>
                <w:szCs w:val="20"/>
              </w:rPr>
            </w:pPr>
            <w:r w:rsidRPr="00115EC6">
              <w:rPr>
                <w:rFonts w:ascii="Gilroy-Medium" w:hAnsi="Gilroy-Medium"/>
                <w:sz w:val="20"/>
                <w:szCs w:val="20"/>
              </w:rPr>
              <w:t>Records Classification and Handling Policy</w:t>
            </w:r>
          </w:p>
          <w:p w14:paraId="7576E5F7" w14:textId="77777777" w:rsidR="0036658E" w:rsidRPr="00115EC6" w:rsidRDefault="0036658E" w:rsidP="0036658E">
            <w:pPr>
              <w:pStyle w:val="ListParagraph"/>
              <w:widowControl/>
              <w:numPr>
                <w:ilvl w:val="0"/>
                <w:numId w:val="6"/>
              </w:numPr>
              <w:autoSpaceDE/>
              <w:autoSpaceDN/>
              <w:spacing w:before="60" w:after="60" w:line="23" w:lineRule="atLeast"/>
              <w:ind w:left="320" w:hanging="283"/>
              <w:contextualSpacing/>
              <w:rPr>
                <w:rFonts w:ascii="Gilroy-Medium" w:hAnsi="Gilroy-Medium"/>
                <w:sz w:val="20"/>
                <w:szCs w:val="20"/>
              </w:rPr>
            </w:pPr>
            <w:r w:rsidRPr="00115EC6">
              <w:rPr>
                <w:rFonts w:ascii="Gilroy-Medium" w:hAnsi="Gilroy-Medium"/>
                <w:sz w:val="20"/>
                <w:szCs w:val="20"/>
              </w:rPr>
              <w:t>Communication Policy</w:t>
            </w:r>
          </w:p>
          <w:p w14:paraId="6D612B31" w14:textId="77777777" w:rsidR="0036658E" w:rsidRPr="00115EC6" w:rsidRDefault="0036658E" w:rsidP="0036658E">
            <w:pPr>
              <w:pStyle w:val="ListParagraph"/>
              <w:widowControl/>
              <w:numPr>
                <w:ilvl w:val="0"/>
                <w:numId w:val="6"/>
              </w:numPr>
              <w:autoSpaceDE/>
              <w:autoSpaceDN/>
              <w:spacing w:before="60" w:after="60" w:line="23" w:lineRule="atLeast"/>
              <w:ind w:left="320" w:hanging="283"/>
              <w:contextualSpacing/>
              <w:rPr>
                <w:rFonts w:ascii="Gilroy-Medium" w:hAnsi="Gilroy-Medium"/>
                <w:sz w:val="20"/>
                <w:szCs w:val="20"/>
              </w:rPr>
            </w:pPr>
            <w:r w:rsidRPr="00115EC6">
              <w:rPr>
                <w:rFonts w:ascii="Gilroy-Medium" w:hAnsi="Gilroy-Medium"/>
                <w:sz w:val="20"/>
                <w:szCs w:val="20"/>
              </w:rPr>
              <w:t>IT Email Policy</w:t>
            </w:r>
          </w:p>
          <w:p w14:paraId="43C2D762" w14:textId="77777777" w:rsidR="0036658E" w:rsidRPr="00115EC6" w:rsidRDefault="0036658E" w:rsidP="0036658E">
            <w:pPr>
              <w:pStyle w:val="ListParagraph"/>
              <w:widowControl/>
              <w:numPr>
                <w:ilvl w:val="0"/>
                <w:numId w:val="6"/>
              </w:numPr>
              <w:autoSpaceDE/>
              <w:autoSpaceDN/>
              <w:spacing w:before="60" w:after="60" w:line="23" w:lineRule="atLeast"/>
              <w:ind w:left="320" w:hanging="283"/>
              <w:contextualSpacing/>
              <w:rPr>
                <w:rFonts w:ascii="Gilroy-Medium" w:hAnsi="Gilroy-Medium"/>
                <w:sz w:val="20"/>
                <w:szCs w:val="20"/>
              </w:rPr>
            </w:pPr>
            <w:r w:rsidRPr="00115EC6">
              <w:rPr>
                <w:rFonts w:ascii="Gilroy-Medium" w:hAnsi="Gilroy-Medium"/>
                <w:sz w:val="20"/>
                <w:szCs w:val="20"/>
              </w:rPr>
              <w:t>IT Acceptable Use Policy</w:t>
            </w:r>
          </w:p>
          <w:p w14:paraId="24CDA9B0" w14:textId="77777777" w:rsidR="0036658E" w:rsidRPr="00115EC6" w:rsidRDefault="0036658E" w:rsidP="0036658E">
            <w:pPr>
              <w:pStyle w:val="ListParagraph"/>
              <w:widowControl/>
              <w:numPr>
                <w:ilvl w:val="0"/>
                <w:numId w:val="6"/>
              </w:numPr>
              <w:autoSpaceDE/>
              <w:autoSpaceDN/>
              <w:spacing w:before="60" w:after="60" w:line="23" w:lineRule="atLeast"/>
              <w:ind w:left="320" w:hanging="283"/>
              <w:contextualSpacing/>
              <w:rPr>
                <w:rFonts w:ascii="Gilroy-Medium" w:hAnsi="Gilroy-Medium"/>
                <w:sz w:val="20"/>
                <w:szCs w:val="20"/>
              </w:rPr>
            </w:pPr>
            <w:r w:rsidRPr="00115EC6">
              <w:rPr>
                <w:rFonts w:ascii="Gilroy-Medium" w:hAnsi="Gilroy-Medium"/>
                <w:sz w:val="20"/>
                <w:szCs w:val="20"/>
              </w:rPr>
              <w:t>IT Security Policy</w:t>
            </w:r>
          </w:p>
          <w:p w14:paraId="00F38BAD" w14:textId="77777777" w:rsidR="0036658E" w:rsidRPr="00115EC6" w:rsidRDefault="0036658E" w:rsidP="0036658E">
            <w:pPr>
              <w:pStyle w:val="ListParagraph"/>
              <w:widowControl/>
              <w:numPr>
                <w:ilvl w:val="0"/>
                <w:numId w:val="6"/>
              </w:numPr>
              <w:autoSpaceDE/>
              <w:autoSpaceDN/>
              <w:spacing w:before="60" w:after="60" w:line="23" w:lineRule="atLeast"/>
              <w:ind w:left="320" w:hanging="283"/>
              <w:contextualSpacing/>
              <w:rPr>
                <w:rFonts w:ascii="Gilroy-Medium" w:hAnsi="Gilroy-Medium"/>
                <w:sz w:val="20"/>
                <w:szCs w:val="20"/>
              </w:rPr>
            </w:pPr>
            <w:r w:rsidRPr="00115EC6">
              <w:rPr>
                <w:rFonts w:ascii="Gilroy-Medium" w:hAnsi="Gilroy-Medium"/>
                <w:sz w:val="20"/>
                <w:szCs w:val="20"/>
              </w:rPr>
              <w:t>Records Disposition Policy</w:t>
            </w:r>
          </w:p>
          <w:p w14:paraId="1A420AF2" w14:textId="77777777" w:rsidR="0036658E" w:rsidRPr="00115EC6" w:rsidRDefault="0036658E" w:rsidP="0036658E">
            <w:pPr>
              <w:pStyle w:val="ListParagraph"/>
              <w:widowControl/>
              <w:numPr>
                <w:ilvl w:val="0"/>
                <w:numId w:val="6"/>
              </w:numPr>
              <w:autoSpaceDE/>
              <w:autoSpaceDN/>
              <w:spacing w:before="60" w:after="60" w:line="23" w:lineRule="atLeast"/>
              <w:ind w:left="320" w:hanging="283"/>
              <w:contextualSpacing/>
              <w:rPr>
                <w:rFonts w:ascii="Gilroy-Medium" w:hAnsi="Gilroy-Medium"/>
                <w:sz w:val="20"/>
                <w:szCs w:val="20"/>
              </w:rPr>
            </w:pPr>
            <w:r w:rsidRPr="00115EC6">
              <w:rPr>
                <w:rFonts w:ascii="Gilroy-Medium" w:hAnsi="Gilroy-Medium"/>
                <w:sz w:val="20"/>
                <w:szCs w:val="20"/>
              </w:rPr>
              <w:t>IT Security Incident Management Policy</w:t>
            </w:r>
          </w:p>
        </w:tc>
      </w:tr>
      <w:tr w:rsidR="0036658E" w:rsidRPr="00692FB8" w14:paraId="5831F8C8" w14:textId="77777777" w:rsidTr="0092382C">
        <w:trPr>
          <w:trHeight w:val="350"/>
        </w:trPr>
        <w:tc>
          <w:tcPr>
            <w:tcW w:w="1882" w:type="dxa"/>
            <w:tcBorders>
              <w:right w:val="single" w:sz="6" w:space="0" w:color="000000"/>
            </w:tcBorders>
            <w:shd w:val="clear" w:color="auto" w:fill="185A7D"/>
          </w:tcPr>
          <w:p w14:paraId="17FBF549" w14:textId="77777777" w:rsidR="0036658E" w:rsidRPr="00115EC6" w:rsidRDefault="0036658E" w:rsidP="0092382C">
            <w:pPr>
              <w:pStyle w:val="TableParagraph"/>
              <w:spacing w:before="52"/>
              <w:rPr>
                <w:rFonts w:ascii="Gilroy-Medium" w:hAnsi="Gilroy-Medium"/>
                <w:b/>
                <w:sz w:val="20"/>
                <w:szCs w:val="20"/>
              </w:rPr>
            </w:pPr>
            <w:r w:rsidRPr="00115EC6">
              <w:rPr>
                <w:rFonts w:ascii="Gilroy-Medium" w:hAnsi="Gilroy-Medium"/>
                <w:b/>
                <w:color w:val="FFFFFF"/>
                <w:sz w:val="20"/>
                <w:szCs w:val="20"/>
              </w:rPr>
              <w:t>Approver</w:t>
            </w:r>
          </w:p>
        </w:tc>
        <w:tc>
          <w:tcPr>
            <w:tcW w:w="2115" w:type="dxa"/>
            <w:tcBorders>
              <w:left w:val="single" w:sz="6" w:space="0" w:color="000000"/>
            </w:tcBorders>
          </w:tcPr>
          <w:p w14:paraId="37FDB555" w14:textId="77777777" w:rsidR="0036658E" w:rsidRPr="00115EC6" w:rsidRDefault="0036658E" w:rsidP="0092382C">
            <w:pPr>
              <w:pStyle w:val="TableParagraph"/>
              <w:spacing w:before="57"/>
              <w:ind w:left="105"/>
              <w:rPr>
                <w:rFonts w:ascii="Gilroy-Medium" w:hAnsi="Gilroy-Medium"/>
                <w:sz w:val="20"/>
                <w:szCs w:val="20"/>
              </w:rPr>
            </w:pPr>
            <w:r w:rsidRPr="00115EC6">
              <w:rPr>
                <w:rFonts w:ascii="Gilroy-Medium" w:hAnsi="Gilroy-Medium"/>
                <w:sz w:val="20"/>
                <w:szCs w:val="20"/>
              </w:rPr>
              <w:t>Executive Council</w:t>
            </w:r>
          </w:p>
        </w:tc>
        <w:tc>
          <w:tcPr>
            <w:tcW w:w="1952" w:type="dxa"/>
            <w:vMerge w:val="restart"/>
            <w:shd w:val="clear" w:color="auto" w:fill="185A7D"/>
          </w:tcPr>
          <w:p w14:paraId="1B22401E" w14:textId="77777777" w:rsidR="0036658E" w:rsidRPr="00115EC6" w:rsidRDefault="0036658E" w:rsidP="0092382C">
            <w:pPr>
              <w:pStyle w:val="TableParagraph"/>
              <w:spacing w:before="47"/>
              <w:rPr>
                <w:rFonts w:ascii="Gilroy-Medium" w:hAnsi="Gilroy-Medium"/>
                <w:b/>
                <w:sz w:val="20"/>
                <w:szCs w:val="20"/>
              </w:rPr>
            </w:pPr>
            <w:r w:rsidRPr="00115EC6">
              <w:rPr>
                <w:rFonts w:ascii="Gilroy-Medium" w:hAnsi="Gilroy-Medium"/>
                <w:b/>
                <w:color w:val="FFFFFF"/>
                <w:sz w:val="20"/>
                <w:szCs w:val="20"/>
              </w:rPr>
              <w:t>Appendices</w:t>
            </w:r>
          </w:p>
        </w:tc>
        <w:tc>
          <w:tcPr>
            <w:tcW w:w="3407" w:type="dxa"/>
            <w:vMerge w:val="restart"/>
          </w:tcPr>
          <w:p w14:paraId="0C028842" w14:textId="77777777" w:rsidR="0036658E" w:rsidRPr="00115EC6" w:rsidRDefault="0036658E" w:rsidP="0092382C">
            <w:pPr>
              <w:pStyle w:val="TableParagraph"/>
              <w:spacing w:before="57"/>
              <w:ind w:right="126"/>
              <w:rPr>
                <w:rFonts w:ascii="Gilroy-Medium" w:hAnsi="Gilroy-Medium"/>
                <w:sz w:val="20"/>
                <w:szCs w:val="20"/>
              </w:rPr>
            </w:pPr>
          </w:p>
        </w:tc>
      </w:tr>
      <w:tr w:rsidR="0036658E" w:rsidRPr="00692FB8" w14:paraId="248960E0" w14:textId="77777777" w:rsidTr="0092382C">
        <w:trPr>
          <w:trHeight w:val="352"/>
        </w:trPr>
        <w:tc>
          <w:tcPr>
            <w:tcW w:w="1882" w:type="dxa"/>
            <w:tcBorders>
              <w:right w:val="single" w:sz="6" w:space="0" w:color="000000"/>
            </w:tcBorders>
            <w:shd w:val="clear" w:color="auto" w:fill="185A7D"/>
          </w:tcPr>
          <w:p w14:paraId="10220253" w14:textId="77777777" w:rsidR="0036658E" w:rsidRPr="00115EC6" w:rsidRDefault="0036658E" w:rsidP="0092382C">
            <w:pPr>
              <w:pStyle w:val="TableParagraph"/>
              <w:spacing w:before="53"/>
              <w:rPr>
                <w:rFonts w:ascii="Gilroy-Medium" w:hAnsi="Gilroy-Medium"/>
                <w:b/>
                <w:sz w:val="20"/>
                <w:szCs w:val="20"/>
              </w:rPr>
            </w:pPr>
            <w:r w:rsidRPr="00115EC6">
              <w:rPr>
                <w:rFonts w:ascii="Gilroy-Medium" w:hAnsi="Gilroy-Medium"/>
                <w:b/>
                <w:color w:val="FFFFFF"/>
                <w:sz w:val="20"/>
                <w:szCs w:val="20"/>
              </w:rPr>
              <w:t>Review</w:t>
            </w:r>
            <w:r w:rsidRPr="00115EC6">
              <w:rPr>
                <w:rFonts w:ascii="Gilroy-Medium" w:hAnsi="Gilroy-Medium"/>
                <w:b/>
                <w:color w:val="FFFFFF"/>
                <w:spacing w:val="-10"/>
                <w:sz w:val="20"/>
                <w:szCs w:val="20"/>
              </w:rPr>
              <w:t xml:space="preserve"> </w:t>
            </w:r>
            <w:r w:rsidRPr="00115EC6">
              <w:rPr>
                <w:rFonts w:ascii="Gilroy-Medium" w:hAnsi="Gilroy-Medium"/>
                <w:b/>
                <w:color w:val="FFFFFF"/>
                <w:sz w:val="20"/>
                <w:szCs w:val="20"/>
              </w:rPr>
              <w:t>Schedule</w:t>
            </w:r>
          </w:p>
        </w:tc>
        <w:tc>
          <w:tcPr>
            <w:tcW w:w="2115" w:type="dxa"/>
            <w:tcBorders>
              <w:left w:val="single" w:sz="6" w:space="0" w:color="000000"/>
            </w:tcBorders>
          </w:tcPr>
          <w:p w14:paraId="03BFF2B0" w14:textId="77777777" w:rsidR="0036658E" w:rsidRPr="00115EC6" w:rsidRDefault="0036658E" w:rsidP="0092382C">
            <w:pPr>
              <w:pStyle w:val="TableParagraph"/>
              <w:spacing w:before="60"/>
              <w:ind w:left="105"/>
              <w:rPr>
                <w:rFonts w:ascii="Gilroy-Medium" w:hAnsi="Gilroy-Medium"/>
                <w:sz w:val="20"/>
                <w:szCs w:val="20"/>
              </w:rPr>
            </w:pPr>
            <w:r w:rsidRPr="00115EC6">
              <w:rPr>
                <w:rFonts w:ascii="Gilroy-Medium" w:hAnsi="Gilroy-Medium"/>
                <w:sz w:val="20"/>
                <w:szCs w:val="20"/>
              </w:rPr>
              <w:t>Every 5 years</w:t>
            </w:r>
          </w:p>
        </w:tc>
        <w:tc>
          <w:tcPr>
            <w:tcW w:w="1952" w:type="dxa"/>
            <w:vMerge/>
            <w:tcBorders>
              <w:top w:val="nil"/>
            </w:tcBorders>
            <w:shd w:val="clear" w:color="auto" w:fill="185A7D"/>
          </w:tcPr>
          <w:p w14:paraId="75CDF6D1" w14:textId="77777777" w:rsidR="0036658E" w:rsidRPr="00115EC6" w:rsidRDefault="0036658E" w:rsidP="0092382C">
            <w:pPr>
              <w:rPr>
                <w:rFonts w:ascii="Gilroy-Medium" w:hAnsi="Gilroy-Medium"/>
                <w:sz w:val="20"/>
                <w:szCs w:val="20"/>
              </w:rPr>
            </w:pPr>
          </w:p>
        </w:tc>
        <w:tc>
          <w:tcPr>
            <w:tcW w:w="3407" w:type="dxa"/>
            <w:vMerge/>
            <w:tcBorders>
              <w:top w:val="nil"/>
            </w:tcBorders>
          </w:tcPr>
          <w:p w14:paraId="7982A88F" w14:textId="77777777" w:rsidR="0036658E" w:rsidRPr="00115EC6" w:rsidRDefault="0036658E" w:rsidP="0092382C">
            <w:pPr>
              <w:rPr>
                <w:rFonts w:ascii="Gilroy-Medium" w:hAnsi="Gilroy-Medium"/>
                <w:sz w:val="20"/>
                <w:szCs w:val="20"/>
              </w:rPr>
            </w:pPr>
          </w:p>
        </w:tc>
      </w:tr>
    </w:tbl>
    <w:p w14:paraId="45562CA5" w14:textId="77777777" w:rsidR="0036658E" w:rsidRPr="00115EC6" w:rsidRDefault="0036658E" w:rsidP="0036658E">
      <w:pPr>
        <w:pStyle w:val="BodyText"/>
        <w:spacing w:before="2"/>
        <w:rPr>
          <w:rFonts w:ascii="Gilroy-Medium" w:hAnsi="Gilroy-Medium"/>
        </w:rPr>
      </w:pPr>
    </w:p>
    <w:p w14:paraId="15FB836C" w14:textId="77777777" w:rsidR="0036658E" w:rsidRPr="00115EC6" w:rsidRDefault="0036658E" w:rsidP="0036658E">
      <w:pPr>
        <w:pStyle w:val="PlainText"/>
        <w:numPr>
          <w:ilvl w:val="0"/>
          <w:numId w:val="9"/>
        </w:numPr>
        <w:spacing w:before="240" w:after="120"/>
        <w:rPr>
          <w:rFonts w:ascii="Gilroy-Medium" w:eastAsia="MS Mincho" w:hAnsi="Gilroy-Medium" w:cs="Arial"/>
          <w:b/>
        </w:rPr>
      </w:pPr>
      <w:r w:rsidRPr="00115EC6">
        <w:rPr>
          <w:rFonts w:ascii="Gilroy-Medium" w:eastAsia="MS Mincho" w:hAnsi="Gilroy-Medium" w:cs="Arial"/>
          <w:b/>
        </w:rPr>
        <w:t>Policy Statement</w:t>
      </w:r>
    </w:p>
    <w:p w14:paraId="6CED72AA" w14:textId="77777777" w:rsidR="0036658E" w:rsidRPr="00115EC6" w:rsidRDefault="0036658E" w:rsidP="00FC2B2C">
      <w:pPr>
        <w:pStyle w:val="ITNumbered123"/>
        <w:numPr>
          <w:ilvl w:val="1"/>
          <w:numId w:val="7"/>
        </w:numPr>
        <w:spacing w:line="240" w:lineRule="auto"/>
        <w:jc w:val="both"/>
        <w:rPr>
          <w:rFonts w:ascii="Gilroy-Medium" w:hAnsi="Gilroy-Medium"/>
          <w:b w:val="0"/>
          <w:szCs w:val="20"/>
        </w:rPr>
      </w:pPr>
      <w:r w:rsidRPr="00115EC6">
        <w:rPr>
          <w:rFonts w:ascii="Gilroy-Medium" w:hAnsi="Gilroy-Medium"/>
          <w:b w:val="0"/>
          <w:szCs w:val="20"/>
        </w:rPr>
        <w:t>Northwestern Polytechnic (“NWP” or the “Institution”) encourages a privacy culture within its operations to meet the expectations of students, parents, and employees and comply with applicable legislation and regulations.</w:t>
      </w:r>
    </w:p>
    <w:p w14:paraId="6C54D8F1" w14:textId="77777777" w:rsidR="0036658E" w:rsidRPr="00115EC6" w:rsidRDefault="0036658E" w:rsidP="00FC2B2C">
      <w:pPr>
        <w:pStyle w:val="PlainText"/>
        <w:numPr>
          <w:ilvl w:val="0"/>
          <w:numId w:val="7"/>
        </w:numPr>
        <w:spacing w:before="240" w:after="120"/>
        <w:jc w:val="both"/>
        <w:rPr>
          <w:rFonts w:ascii="Gilroy-Medium" w:eastAsia="MS Mincho" w:hAnsi="Gilroy-Medium" w:cs="Arial"/>
          <w:b/>
        </w:rPr>
      </w:pPr>
      <w:r w:rsidRPr="00115EC6">
        <w:rPr>
          <w:rFonts w:ascii="Gilroy-Medium" w:eastAsia="MS Mincho" w:hAnsi="Gilroy-Medium" w:cs="Arial"/>
          <w:b/>
        </w:rPr>
        <w:t>Background</w:t>
      </w:r>
    </w:p>
    <w:p w14:paraId="0E13990E" w14:textId="77777777" w:rsidR="0036658E" w:rsidRPr="00115EC6" w:rsidRDefault="0036658E" w:rsidP="00FC2B2C">
      <w:pPr>
        <w:pStyle w:val="ListParagraphNumbering"/>
        <w:jc w:val="both"/>
        <w:rPr>
          <w:rFonts w:ascii="Gilroy-Medium" w:hAnsi="Gilroy-Medium"/>
          <w:b/>
        </w:rPr>
      </w:pPr>
      <w:r w:rsidRPr="00115EC6">
        <w:rPr>
          <w:rFonts w:ascii="Gilroy-Medium" w:hAnsi="Gilroy-Medium"/>
        </w:rPr>
        <w:t>NWP collects personal information from students, prospective students, employees, alumni, donors, the Board of Governors, etc.</w:t>
      </w:r>
    </w:p>
    <w:p w14:paraId="20E3592C" w14:textId="77777777" w:rsidR="0036658E" w:rsidRPr="00115EC6" w:rsidRDefault="0036658E" w:rsidP="00FC2B2C">
      <w:pPr>
        <w:pStyle w:val="ListParagraphNumbering"/>
        <w:jc w:val="both"/>
        <w:rPr>
          <w:rFonts w:ascii="Gilroy-Medium" w:hAnsi="Gilroy-Medium"/>
          <w:b/>
        </w:rPr>
      </w:pPr>
      <w:r w:rsidRPr="00115EC6">
        <w:rPr>
          <w:rFonts w:ascii="Gilroy-Medium" w:hAnsi="Gilroy-Medium"/>
        </w:rPr>
        <w:t xml:space="preserve">NWP is defined as a “Public Body” under the </w:t>
      </w:r>
      <w:r w:rsidRPr="00115EC6">
        <w:rPr>
          <w:rFonts w:ascii="Gilroy-Medium" w:hAnsi="Gilroy-Medium"/>
          <w:i/>
        </w:rPr>
        <w:t>Freedom of Information and Protection of Privacy Act</w:t>
      </w:r>
      <w:r w:rsidRPr="00115EC6">
        <w:rPr>
          <w:rFonts w:ascii="Gilroy-Medium" w:hAnsi="Gilroy-Medium"/>
        </w:rPr>
        <w:t xml:space="preserve"> (“FOIP”) and must comply with the requirements of this Act.</w:t>
      </w:r>
    </w:p>
    <w:p w14:paraId="4CE0B178" w14:textId="77777777" w:rsidR="0036658E" w:rsidRPr="00115EC6" w:rsidRDefault="0036658E" w:rsidP="00FC2B2C">
      <w:pPr>
        <w:pStyle w:val="PlainText"/>
        <w:numPr>
          <w:ilvl w:val="0"/>
          <w:numId w:val="7"/>
        </w:numPr>
        <w:spacing w:before="240" w:after="120"/>
        <w:jc w:val="both"/>
        <w:rPr>
          <w:rFonts w:ascii="Gilroy-Medium" w:eastAsia="MS Mincho" w:hAnsi="Gilroy-Medium" w:cs="Arial"/>
          <w:b/>
        </w:rPr>
      </w:pPr>
      <w:r w:rsidRPr="00115EC6">
        <w:rPr>
          <w:rFonts w:ascii="Gilroy-Medium" w:eastAsia="MS Mincho" w:hAnsi="Gilroy-Medium" w:cs="Arial"/>
          <w:b/>
        </w:rPr>
        <w:t>Policy Objective</w:t>
      </w:r>
    </w:p>
    <w:p w14:paraId="6305232E" w14:textId="77777777" w:rsidR="0036658E" w:rsidRPr="00115EC6" w:rsidRDefault="0036658E" w:rsidP="00FC2B2C">
      <w:pPr>
        <w:pStyle w:val="ITNumbered123"/>
        <w:numPr>
          <w:ilvl w:val="1"/>
          <w:numId w:val="7"/>
        </w:numPr>
        <w:spacing w:line="240" w:lineRule="auto"/>
        <w:jc w:val="both"/>
        <w:rPr>
          <w:rFonts w:ascii="Gilroy-Medium" w:hAnsi="Gilroy-Medium"/>
          <w:b w:val="0"/>
          <w:szCs w:val="20"/>
        </w:rPr>
      </w:pPr>
      <w:r w:rsidRPr="00115EC6">
        <w:rPr>
          <w:rFonts w:ascii="Gilroy-Medium" w:hAnsi="Gilroy-Medium"/>
          <w:b w:val="0"/>
          <w:szCs w:val="20"/>
        </w:rPr>
        <w:t xml:space="preserve">The objective of this policy </w:t>
      </w:r>
      <w:r w:rsidR="008D70DF" w:rsidRPr="00115EC6">
        <w:rPr>
          <w:rFonts w:ascii="Gilroy-Medium" w:hAnsi="Gilroy-Medium"/>
          <w:b w:val="0"/>
          <w:szCs w:val="20"/>
        </w:rPr>
        <w:t>is</w:t>
      </w:r>
      <w:r w:rsidRPr="00115EC6">
        <w:rPr>
          <w:rFonts w:ascii="Gilroy-Medium" w:hAnsi="Gilroy-Medium"/>
          <w:b w:val="0"/>
          <w:szCs w:val="20"/>
        </w:rPr>
        <w:t xml:space="preserve"> to advise </w:t>
      </w:r>
      <w:r w:rsidR="008D70DF" w:rsidRPr="00115EC6">
        <w:rPr>
          <w:rFonts w:ascii="Gilroy-Medium" w:hAnsi="Gilroy-Medium"/>
          <w:b w:val="0"/>
          <w:szCs w:val="20"/>
        </w:rPr>
        <w:t>i</w:t>
      </w:r>
      <w:r w:rsidRPr="00115EC6">
        <w:rPr>
          <w:rFonts w:ascii="Gilroy-Medium" w:hAnsi="Gilroy-Medium"/>
          <w:b w:val="0"/>
          <w:szCs w:val="20"/>
        </w:rPr>
        <w:t xml:space="preserve">nstitution employees of their responsibilities for the management and protection of personal information and to provide guidance in collecting, using, disclosing, and managing personal information in the custody of NWP.  </w:t>
      </w:r>
    </w:p>
    <w:p w14:paraId="57238CB4" w14:textId="77777777" w:rsidR="0036658E" w:rsidRPr="00115EC6" w:rsidRDefault="0036658E" w:rsidP="00FC2B2C">
      <w:pPr>
        <w:pStyle w:val="PlainText"/>
        <w:numPr>
          <w:ilvl w:val="0"/>
          <w:numId w:val="7"/>
        </w:numPr>
        <w:spacing w:before="240" w:after="120"/>
        <w:jc w:val="both"/>
        <w:rPr>
          <w:rFonts w:ascii="Gilroy-Medium" w:eastAsia="MS Mincho" w:hAnsi="Gilroy-Medium" w:cs="Arial"/>
          <w:b/>
        </w:rPr>
      </w:pPr>
      <w:r w:rsidRPr="00115EC6">
        <w:rPr>
          <w:rFonts w:ascii="Gilroy-Medium" w:eastAsia="MS Mincho" w:hAnsi="Gilroy-Medium" w:cs="Arial"/>
          <w:b/>
        </w:rPr>
        <w:t>Scope</w:t>
      </w:r>
    </w:p>
    <w:p w14:paraId="09D9ABF0" w14:textId="4B2B3716" w:rsidR="0036658E" w:rsidRPr="00115EC6" w:rsidRDefault="0036658E" w:rsidP="00FC2B2C">
      <w:pPr>
        <w:pStyle w:val="ITNumbered123"/>
        <w:numPr>
          <w:ilvl w:val="1"/>
          <w:numId w:val="7"/>
        </w:numPr>
        <w:spacing w:line="240" w:lineRule="auto"/>
        <w:jc w:val="both"/>
        <w:rPr>
          <w:rFonts w:ascii="Gilroy-Medium" w:hAnsi="Gilroy-Medium"/>
          <w:b w:val="0"/>
          <w:szCs w:val="20"/>
        </w:rPr>
      </w:pPr>
      <w:r w:rsidRPr="00115EC6">
        <w:rPr>
          <w:rFonts w:ascii="Gilroy-Medium" w:hAnsi="Gilroy-Medium"/>
          <w:b w:val="0"/>
          <w:szCs w:val="20"/>
        </w:rPr>
        <w:t xml:space="preserve">This policy applies to all members of the </w:t>
      </w:r>
      <w:r w:rsidR="002C2279" w:rsidRPr="00115EC6">
        <w:rPr>
          <w:rFonts w:ascii="Gilroy-Medium" w:hAnsi="Gilroy-Medium"/>
          <w:b w:val="0"/>
          <w:szCs w:val="20"/>
        </w:rPr>
        <w:t>institution community</w:t>
      </w:r>
      <w:r w:rsidRPr="00115EC6">
        <w:rPr>
          <w:rFonts w:ascii="Gilroy-Medium" w:hAnsi="Gilroy-Medium"/>
          <w:b w:val="0"/>
          <w:szCs w:val="20"/>
        </w:rPr>
        <w:t>.</w:t>
      </w:r>
    </w:p>
    <w:p w14:paraId="7EA5C1CB" w14:textId="77777777" w:rsidR="0036658E" w:rsidRPr="00115EC6" w:rsidRDefault="0036658E" w:rsidP="00FC2B2C">
      <w:pPr>
        <w:pStyle w:val="PlainText"/>
        <w:numPr>
          <w:ilvl w:val="0"/>
          <w:numId w:val="7"/>
        </w:numPr>
        <w:spacing w:before="240" w:after="120"/>
        <w:jc w:val="both"/>
        <w:rPr>
          <w:rFonts w:ascii="Gilroy-Medium" w:eastAsia="MS Mincho" w:hAnsi="Gilroy-Medium" w:cs="Arial"/>
          <w:b/>
        </w:rPr>
      </w:pPr>
      <w:r w:rsidRPr="00115EC6">
        <w:rPr>
          <w:rFonts w:ascii="Gilroy-Medium" w:eastAsia="MS Mincho" w:hAnsi="Gilroy-Medium" w:cs="Arial"/>
          <w:b/>
        </w:rPr>
        <w:t>Definitions</w:t>
      </w:r>
    </w:p>
    <w:p w14:paraId="38087E02" w14:textId="53ED1810" w:rsidR="0036658E" w:rsidRPr="00115EC6" w:rsidRDefault="0036658E" w:rsidP="00FC2B2C">
      <w:pPr>
        <w:pStyle w:val="ListParagraphNumbering"/>
        <w:jc w:val="both"/>
        <w:rPr>
          <w:rFonts w:ascii="Gilroy-Medium" w:hAnsi="Gilroy-Medium"/>
        </w:rPr>
      </w:pPr>
      <w:r w:rsidRPr="00115EC6">
        <w:rPr>
          <w:rFonts w:ascii="Gilroy-Medium" w:hAnsi="Gilroy-Medium"/>
        </w:rPr>
        <w:t>Members of the “</w:t>
      </w:r>
      <w:r w:rsidR="002C2279" w:rsidRPr="00115EC6">
        <w:rPr>
          <w:rFonts w:ascii="Gilroy-Medium" w:hAnsi="Gilroy-Medium"/>
        </w:rPr>
        <w:t>Institution community</w:t>
      </w:r>
      <w:r w:rsidRPr="00115EC6">
        <w:rPr>
          <w:rFonts w:ascii="Gilroy-Medium" w:hAnsi="Gilroy-Medium"/>
        </w:rPr>
        <w:t xml:space="preserve">” includes students, Board of Governors, employees, staff and contractors. </w:t>
      </w:r>
    </w:p>
    <w:p w14:paraId="38D6F6E8" w14:textId="77777777" w:rsidR="0036658E" w:rsidRPr="00115EC6" w:rsidRDefault="0036658E" w:rsidP="00FC2B2C">
      <w:pPr>
        <w:pStyle w:val="ListParagraphNumbering"/>
        <w:jc w:val="both"/>
        <w:rPr>
          <w:rFonts w:ascii="Gilroy-Medium" w:hAnsi="Gilroy-Medium"/>
          <w:b/>
        </w:rPr>
      </w:pPr>
      <w:r w:rsidRPr="00115EC6">
        <w:rPr>
          <w:rFonts w:ascii="Gilroy-Medium" w:hAnsi="Gilroy-Medium"/>
        </w:rPr>
        <w:t>“Personal information” is information related to an individual that can be used to identify, contact, or locate a single person, or to identify an individual in context. This includes an individual’s name, home address and phone number, age, sex, marital or family status, an identifying number, religion, ethnic background, health status, financial information (such as banking or credit card information), educational history, and so forth.</w:t>
      </w:r>
    </w:p>
    <w:p w14:paraId="29CAF681" w14:textId="77777777" w:rsidR="0036658E" w:rsidRPr="00115EC6" w:rsidRDefault="0036658E" w:rsidP="00FC2B2C">
      <w:pPr>
        <w:pStyle w:val="ListParagraphNumbering"/>
        <w:numPr>
          <w:ilvl w:val="0"/>
          <w:numId w:val="0"/>
        </w:numPr>
        <w:ind w:left="794"/>
        <w:jc w:val="both"/>
        <w:rPr>
          <w:rFonts w:ascii="Gilroy-Medium" w:hAnsi="Gilroy-Medium"/>
          <w:b/>
        </w:rPr>
      </w:pPr>
    </w:p>
    <w:p w14:paraId="6A5F6CA1" w14:textId="77777777" w:rsidR="0036658E" w:rsidRPr="00115EC6" w:rsidRDefault="0036658E" w:rsidP="00FC2B2C">
      <w:pPr>
        <w:pStyle w:val="PlainText"/>
        <w:numPr>
          <w:ilvl w:val="0"/>
          <w:numId w:val="7"/>
        </w:numPr>
        <w:spacing w:before="240" w:after="120"/>
        <w:jc w:val="both"/>
        <w:rPr>
          <w:rFonts w:ascii="Gilroy-Medium" w:eastAsia="MS Mincho" w:hAnsi="Gilroy-Medium" w:cs="Arial"/>
          <w:b/>
        </w:rPr>
      </w:pPr>
      <w:r w:rsidRPr="00115EC6">
        <w:rPr>
          <w:rFonts w:ascii="Gilroy-Medium" w:eastAsia="MS Mincho" w:hAnsi="Gilroy-Medium" w:cs="Arial"/>
          <w:b/>
        </w:rPr>
        <w:t>Guiding Principles</w:t>
      </w:r>
    </w:p>
    <w:p w14:paraId="69D75E69" w14:textId="77777777" w:rsidR="0036658E" w:rsidRPr="00115EC6" w:rsidRDefault="0036658E" w:rsidP="00FC2B2C">
      <w:pPr>
        <w:pStyle w:val="ListParagraphNumbering"/>
        <w:ind w:left="851" w:hanging="567"/>
        <w:jc w:val="both"/>
        <w:rPr>
          <w:rFonts w:ascii="Gilroy-Medium" w:hAnsi="Gilroy-Medium"/>
          <w:b/>
        </w:rPr>
      </w:pPr>
      <w:r w:rsidRPr="00115EC6">
        <w:rPr>
          <w:rFonts w:ascii="Gilroy-Medium" w:hAnsi="Gilroy-Medium"/>
        </w:rPr>
        <w:t xml:space="preserve">NWP will collect, use, disclose, and manage personal information in accordance with FOIP in Alberta, and other applicable laws, such as the </w:t>
      </w:r>
      <w:r w:rsidRPr="00115EC6">
        <w:rPr>
          <w:rFonts w:ascii="Gilroy-Medium" w:hAnsi="Gilroy-Medium"/>
          <w:i/>
        </w:rPr>
        <w:t>Health Information Act</w:t>
      </w:r>
      <w:r w:rsidRPr="00115EC6">
        <w:rPr>
          <w:rFonts w:ascii="Gilroy-Medium" w:hAnsi="Gilroy-Medium"/>
        </w:rPr>
        <w:t xml:space="preserve">. </w:t>
      </w:r>
    </w:p>
    <w:p w14:paraId="064DE101" w14:textId="77777777" w:rsidR="0036658E" w:rsidRPr="00115EC6" w:rsidRDefault="0036658E" w:rsidP="00FC2B2C">
      <w:pPr>
        <w:pStyle w:val="ListParagraphNumbering"/>
        <w:ind w:left="851" w:hanging="567"/>
        <w:jc w:val="both"/>
        <w:rPr>
          <w:rFonts w:ascii="Gilroy-Medium" w:hAnsi="Gilroy-Medium"/>
        </w:rPr>
      </w:pPr>
      <w:r w:rsidRPr="00115EC6">
        <w:rPr>
          <w:rFonts w:ascii="Gilroy-Medium" w:hAnsi="Gilroy-Medium"/>
        </w:rPr>
        <w:t>The Institution is responsible for personal information under its control and shall designate an individual or individuals who are accountable for the organization’s compliance with this policy, FOIP and other privacy-related legislation.</w:t>
      </w:r>
    </w:p>
    <w:p w14:paraId="74BD8454" w14:textId="49C10C2E" w:rsidR="0036658E" w:rsidRPr="00115EC6" w:rsidRDefault="0036658E" w:rsidP="00FC2B2C">
      <w:pPr>
        <w:pStyle w:val="ListParagraphNumbering"/>
        <w:ind w:left="851" w:hanging="567"/>
        <w:jc w:val="both"/>
        <w:rPr>
          <w:rFonts w:ascii="Gilroy-Medium" w:hAnsi="Gilroy-Medium"/>
        </w:rPr>
      </w:pPr>
      <w:r w:rsidRPr="00115EC6">
        <w:rPr>
          <w:rFonts w:ascii="Gilroy-Medium" w:hAnsi="Gilroy-Medium"/>
        </w:rPr>
        <w:t xml:space="preserve">All members of the </w:t>
      </w:r>
      <w:r w:rsidR="002C2279" w:rsidRPr="00115EC6">
        <w:rPr>
          <w:rFonts w:ascii="Gilroy-Medium" w:hAnsi="Gilroy-Medium"/>
        </w:rPr>
        <w:t>Institution community</w:t>
      </w:r>
      <w:r w:rsidRPr="00115EC6">
        <w:rPr>
          <w:rFonts w:ascii="Gilroy-Medium" w:hAnsi="Gilroy-Medium"/>
        </w:rPr>
        <w:t xml:space="preserve"> are responsible for the protection of personal, confidential, and sensitive information entrusted to them. </w:t>
      </w:r>
    </w:p>
    <w:p w14:paraId="258A87B9" w14:textId="4523A009" w:rsidR="0036658E" w:rsidRPr="00115EC6" w:rsidRDefault="0036658E" w:rsidP="00FC2B2C">
      <w:pPr>
        <w:pStyle w:val="ListParagraphNumbering"/>
        <w:ind w:left="851" w:hanging="567"/>
        <w:jc w:val="both"/>
        <w:rPr>
          <w:rFonts w:ascii="Gilroy-Medium" w:hAnsi="Gilroy-Medium"/>
          <w:b/>
        </w:rPr>
      </w:pPr>
      <w:r w:rsidRPr="00115EC6">
        <w:rPr>
          <w:rFonts w:ascii="Gilroy-Medium" w:hAnsi="Gilroy-Medium"/>
        </w:rPr>
        <w:t xml:space="preserve">NWP will ensure the </w:t>
      </w:r>
      <w:r w:rsidR="002C2279" w:rsidRPr="00115EC6">
        <w:rPr>
          <w:rFonts w:ascii="Gilroy-Medium" w:hAnsi="Gilroy-Medium"/>
        </w:rPr>
        <w:t>Institution community</w:t>
      </w:r>
      <w:r w:rsidRPr="00115EC6">
        <w:rPr>
          <w:rFonts w:ascii="Gilroy-Medium" w:hAnsi="Gilroy-Medium"/>
        </w:rPr>
        <w:t xml:space="preserve"> members are aware of its privacy policies and procedures, through publications</w:t>
      </w:r>
      <w:r w:rsidR="008D70DF" w:rsidRPr="00115EC6">
        <w:rPr>
          <w:rFonts w:ascii="Gilroy-Medium" w:hAnsi="Gilroy-Medium"/>
        </w:rPr>
        <w:t>,</w:t>
      </w:r>
      <w:r w:rsidRPr="00115EC6">
        <w:rPr>
          <w:rFonts w:ascii="Gilroy-Medium" w:hAnsi="Gilroy-Medium"/>
        </w:rPr>
        <w:t xml:space="preserve"> web postings, training seminars, and other communication means.</w:t>
      </w:r>
    </w:p>
    <w:p w14:paraId="4E858BC3" w14:textId="77777777" w:rsidR="0036658E" w:rsidRPr="00115EC6" w:rsidRDefault="0036658E" w:rsidP="00FC2B2C">
      <w:pPr>
        <w:pStyle w:val="ITNumbered123"/>
        <w:numPr>
          <w:ilvl w:val="1"/>
          <w:numId w:val="7"/>
        </w:numPr>
        <w:spacing w:line="240" w:lineRule="auto"/>
        <w:ind w:left="851" w:hanging="567"/>
        <w:jc w:val="both"/>
        <w:rPr>
          <w:rFonts w:ascii="Gilroy-Medium" w:hAnsi="Gilroy-Medium"/>
          <w:b w:val="0"/>
          <w:szCs w:val="20"/>
        </w:rPr>
      </w:pPr>
      <w:r w:rsidRPr="00115EC6">
        <w:rPr>
          <w:rFonts w:ascii="Gilroy-Medium" w:hAnsi="Gilroy-Medium"/>
          <w:b w:val="0"/>
          <w:szCs w:val="20"/>
        </w:rPr>
        <w:t xml:space="preserve">The Institution will only collect personal information when it is necessary for the purposes identified by NWP.  Such information shall be collected by fair and lawful means. </w:t>
      </w:r>
    </w:p>
    <w:p w14:paraId="744FA395" w14:textId="77777777" w:rsidR="0036658E" w:rsidRPr="00115EC6" w:rsidRDefault="0036658E" w:rsidP="00FC2B2C">
      <w:pPr>
        <w:pStyle w:val="ITNumbered123"/>
        <w:numPr>
          <w:ilvl w:val="1"/>
          <w:numId w:val="7"/>
        </w:numPr>
        <w:spacing w:line="240" w:lineRule="auto"/>
        <w:ind w:left="851" w:hanging="567"/>
        <w:jc w:val="both"/>
        <w:rPr>
          <w:rFonts w:ascii="Gilroy-Medium" w:hAnsi="Gilroy-Medium"/>
          <w:b w:val="0"/>
          <w:szCs w:val="20"/>
        </w:rPr>
      </w:pPr>
      <w:r w:rsidRPr="00115EC6">
        <w:rPr>
          <w:rFonts w:ascii="Gilroy-Medium" w:hAnsi="Gilroy-Medium"/>
          <w:b w:val="0"/>
          <w:szCs w:val="20"/>
        </w:rPr>
        <w:t>NWP will maintain Personal Information Banks of all personal information it houses, as required by FOIP.</w:t>
      </w:r>
    </w:p>
    <w:p w14:paraId="2E4392FA" w14:textId="77777777" w:rsidR="0036658E" w:rsidRPr="00115EC6" w:rsidRDefault="0036658E" w:rsidP="00FC2B2C">
      <w:pPr>
        <w:pStyle w:val="ITNumbered123"/>
        <w:numPr>
          <w:ilvl w:val="1"/>
          <w:numId w:val="7"/>
        </w:numPr>
        <w:spacing w:line="240" w:lineRule="auto"/>
        <w:ind w:left="851" w:hanging="567"/>
        <w:jc w:val="both"/>
        <w:rPr>
          <w:rFonts w:ascii="Gilroy-Medium" w:hAnsi="Gilroy-Medium"/>
          <w:b w:val="0"/>
          <w:szCs w:val="20"/>
        </w:rPr>
      </w:pPr>
      <w:r w:rsidRPr="00115EC6">
        <w:rPr>
          <w:rFonts w:ascii="Gilroy-Medium" w:hAnsi="Gilroy-Medium"/>
          <w:b w:val="0"/>
          <w:szCs w:val="20"/>
        </w:rPr>
        <w:t xml:space="preserve">The purpose of collection of personal information will be clearly stated at or before the information is collected. Where practical, NWP will collect personal information directly from individuals.  </w:t>
      </w:r>
    </w:p>
    <w:p w14:paraId="716A406F" w14:textId="77777777" w:rsidR="0036658E" w:rsidRPr="00115EC6" w:rsidRDefault="0036658E" w:rsidP="00FC2B2C">
      <w:pPr>
        <w:pStyle w:val="ITNumbered123"/>
        <w:numPr>
          <w:ilvl w:val="1"/>
          <w:numId w:val="7"/>
        </w:numPr>
        <w:spacing w:line="240" w:lineRule="auto"/>
        <w:ind w:left="851" w:hanging="567"/>
        <w:jc w:val="both"/>
        <w:rPr>
          <w:rFonts w:ascii="Gilroy-Medium" w:hAnsi="Gilroy-Medium"/>
          <w:b w:val="0"/>
          <w:szCs w:val="20"/>
        </w:rPr>
      </w:pPr>
      <w:r w:rsidRPr="00115EC6">
        <w:rPr>
          <w:rFonts w:ascii="Gilroy-Medium" w:hAnsi="Gilroy-Medium"/>
          <w:b w:val="0"/>
          <w:szCs w:val="20"/>
        </w:rPr>
        <w:t xml:space="preserve">Personal information will not be released to third parties and will only be used for the purpose for which it was collected, except with the consent of the individual or as required by law. </w:t>
      </w:r>
    </w:p>
    <w:p w14:paraId="1436C455" w14:textId="77777777" w:rsidR="0036658E" w:rsidRPr="00115EC6" w:rsidRDefault="0036658E" w:rsidP="00FC2B2C">
      <w:pPr>
        <w:pStyle w:val="ITNumbered123"/>
        <w:numPr>
          <w:ilvl w:val="1"/>
          <w:numId w:val="7"/>
        </w:numPr>
        <w:spacing w:line="240" w:lineRule="auto"/>
        <w:ind w:left="851" w:hanging="567"/>
        <w:jc w:val="both"/>
        <w:rPr>
          <w:rFonts w:ascii="Gilroy-Medium" w:hAnsi="Gilroy-Medium"/>
          <w:b w:val="0"/>
          <w:szCs w:val="20"/>
        </w:rPr>
      </w:pPr>
      <w:r w:rsidRPr="00115EC6">
        <w:rPr>
          <w:rFonts w:ascii="Gilroy-Medium" w:hAnsi="Gilroy-Medium"/>
          <w:b w:val="0"/>
          <w:szCs w:val="20"/>
        </w:rPr>
        <w:t>Personal information will be maintained for the length of time necessary for its use, under the conditions of section 6.7.  Personal information that is no longer required will be disposed of in accordance with NWP’s Records Disposition Policy.</w:t>
      </w:r>
    </w:p>
    <w:p w14:paraId="1416BAD6" w14:textId="02BF616D" w:rsidR="0036658E" w:rsidRPr="00115EC6" w:rsidRDefault="0036658E" w:rsidP="00FC2B2C">
      <w:pPr>
        <w:pStyle w:val="ListParagraphNumbering"/>
        <w:ind w:left="851" w:hanging="567"/>
        <w:jc w:val="both"/>
        <w:rPr>
          <w:rFonts w:ascii="Gilroy-Medium" w:hAnsi="Gilroy-Medium"/>
          <w:b/>
        </w:rPr>
      </w:pPr>
      <w:r w:rsidRPr="00115EC6">
        <w:rPr>
          <w:rFonts w:ascii="Gilroy-Medium" w:hAnsi="Gilroy-Medium"/>
        </w:rPr>
        <w:t>NWP will safeguard personal information and take all reasonable steps to protect the information in its possession by following the requirements of the Records Management Policy</w:t>
      </w:r>
      <w:r w:rsidRPr="00115EC6">
        <w:rPr>
          <w:rFonts w:ascii="Gilroy-Medium" w:eastAsia="Times New Roman" w:hAnsi="Gilroy-Medium"/>
          <w:lang w:val="en-CA"/>
        </w:rPr>
        <w:t>, Records Classification and Handling Policy, IT Email Policy, IT Acceptable Use Policy, and IT Security Policy</w:t>
      </w:r>
      <w:r w:rsidRPr="00115EC6">
        <w:rPr>
          <w:rFonts w:ascii="Gilroy-Medium" w:hAnsi="Gilroy-Medium"/>
        </w:rPr>
        <w:t>.</w:t>
      </w:r>
    </w:p>
    <w:p w14:paraId="470A61EF" w14:textId="77777777" w:rsidR="0036658E" w:rsidRPr="00115EC6" w:rsidRDefault="0036658E" w:rsidP="00FC2B2C">
      <w:pPr>
        <w:pStyle w:val="ListParagraphNumbering"/>
        <w:ind w:left="851" w:hanging="567"/>
        <w:jc w:val="both"/>
        <w:rPr>
          <w:rFonts w:ascii="Gilroy-Medium" w:hAnsi="Gilroy-Medium"/>
          <w:b/>
        </w:rPr>
      </w:pPr>
      <w:r w:rsidRPr="00115EC6">
        <w:rPr>
          <w:rFonts w:ascii="Gilroy-Medium" w:hAnsi="Gilroy-Medium"/>
        </w:rPr>
        <w:t xml:space="preserve">If personal information is inadvertently disclosed, NWP will notify the Office of the Information and Privacy Commissioner immediately and conduct an internal investigation.  NWP will follow the IT </w:t>
      </w:r>
      <w:r w:rsidRPr="00115EC6">
        <w:rPr>
          <w:rFonts w:ascii="Gilroy-Medium" w:eastAsia="Times New Roman" w:hAnsi="Gilroy-Medium"/>
          <w:lang w:val="en-CA"/>
        </w:rPr>
        <w:t>Security Incident Management Policy</w:t>
      </w:r>
      <w:r w:rsidRPr="00115EC6">
        <w:rPr>
          <w:rFonts w:ascii="Gilroy-Medium" w:hAnsi="Gilroy-Medium"/>
        </w:rPr>
        <w:t xml:space="preserve"> to respond quickly to such issues.</w:t>
      </w:r>
    </w:p>
    <w:p w14:paraId="745BDE85" w14:textId="77777777" w:rsidR="0036658E" w:rsidRPr="00115EC6" w:rsidRDefault="0036658E" w:rsidP="00FC2B2C">
      <w:pPr>
        <w:pStyle w:val="ITNumbered123"/>
        <w:numPr>
          <w:ilvl w:val="1"/>
          <w:numId w:val="7"/>
        </w:numPr>
        <w:spacing w:line="240" w:lineRule="auto"/>
        <w:ind w:left="851" w:hanging="567"/>
        <w:jc w:val="both"/>
        <w:rPr>
          <w:rFonts w:ascii="Gilroy-Medium" w:hAnsi="Gilroy-Medium"/>
          <w:b w:val="0"/>
          <w:szCs w:val="20"/>
        </w:rPr>
      </w:pPr>
      <w:r w:rsidRPr="00115EC6">
        <w:rPr>
          <w:rFonts w:ascii="Gilroy-Medium" w:hAnsi="Gilroy-Medium"/>
          <w:b w:val="0"/>
          <w:szCs w:val="20"/>
        </w:rPr>
        <w:t>Upon request, individuals can access their personal information. The individual can challenge the accuracy and completeness of information and have it amended as appropriate.</w:t>
      </w:r>
    </w:p>
    <w:p w14:paraId="03748636" w14:textId="77777777" w:rsidR="0036658E" w:rsidRPr="00115EC6" w:rsidRDefault="0036658E" w:rsidP="00FC2B2C">
      <w:pPr>
        <w:pStyle w:val="ITNumbered123"/>
        <w:numPr>
          <w:ilvl w:val="1"/>
          <w:numId w:val="7"/>
        </w:numPr>
        <w:spacing w:line="240" w:lineRule="auto"/>
        <w:ind w:left="851" w:hanging="567"/>
        <w:jc w:val="both"/>
        <w:rPr>
          <w:rFonts w:ascii="Gilroy-Medium" w:hAnsi="Gilroy-Medium"/>
          <w:b w:val="0"/>
          <w:szCs w:val="20"/>
        </w:rPr>
      </w:pPr>
      <w:r w:rsidRPr="00115EC6">
        <w:rPr>
          <w:rFonts w:ascii="Gilroy-Medium" w:hAnsi="Gilroy-Medium"/>
          <w:b w:val="0"/>
          <w:szCs w:val="20"/>
        </w:rPr>
        <w:t>Access to Information Requests will be handled in accordance with FOIP and within the time window allowable by the legislation.</w:t>
      </w:r>
    </w:p>
    <w:p w14:paraId="284D7CB1" w14:textId="77777777" w:rsidR="0036658E" w:rsidRPr="00115EC6" w:rsidRDefault="0036658E" w:rsidP="00FC2B2C">
      <w:pPr>
        <w:pStyle w:val="ITNumbered123"/>
        <w:numPr>
          <w:ilvl w:val="1"/>
          <w:numId w:val="7"/>
        </w:numPr>
        <w:spacing w:line="240" w:lineRule="auto"/>
        <w:ind w:left="851" w:hanging="567"/>
        <w:jc w:val="both"/>
        <w:rPr>
          <w:rFonts w:ascii="Gilroy-Medium" w:hAnsi="Gilroy-Medium"/>
          <w:b w:val="0"/>
          <w:szCs w:val="20"/>
        </w:rPr>
      </w:pPr>
      <w:r w:rsidRPr="00115EC6">
        <w:rPr>
          <w:rFonts w:ascii="Gilroy-Medium" w:hAnsi="Gilroy-Medium"/>
          <w:b w:val="0"/>
          <w:szCs w:val="20"/>
        </w:rPr>
        <w:t xml:space="preserve">From time to time, the Executive Council will evaluate NWP’s compliance with this policy and related procedural documents, as well as the FOIP legislation.  </w:t>
      </w:r>
    </w:p>
    <w:p w14:paraId="3FB5592F" w14:textId="77777777" w:rsidR="0036658E" w:rsidRPr="00115EC6" w:rsidRDefault="0036658E" w:rsidP="00FC2B2C">
      <w:pPr>
        <w:pStyle w:val="ITNumbered123"/>
        <w:numPr>
          <w:ilvl w:val="0"/>
          <w:numId w:val="0"/>
        </w:numPr>
        <w:spacing w:line="240" w:lineRule="auto"/>
        <w:ind w:left="360"/>
        <w:jc w:val="both"/>
        <w:rPr>
          <w:rFonts w:ascii="Gilroy-Medium" w:hAnsi="Gilroy-Medium"/>
          <w:b w:val="0"/>
          <w:szCs w:val="20"/>
        </w:rPr>
      </w:pPr>
    </w:p>
    <w:p w14:paraId="2B2B3379" w14:textId="77777777" w:rsidR="0036658E" w:rsidRPr="00115EC6" w:rsidRDefault="0036658E" w:rsidP="00FC2B2C">
      <w:pPr>
        <w:pStyle w:val="ITNumbered123"/>
        <w:numPr>
          <w:ilvl w:val="0"/>
          <w:numId w:val="0"/>
        </w:numPr>
        <w:spacing w:line="240" w:lineRule="auto"/>
        <w:ind w:left="360"/>
        <w:jc w:val="both"/>
        <w:rPr>
          <w:rFonts w:ascii="Gilroy-Medium" w:hAnsi="Gilroy-Medium"/>
          <w:b w:val="0"/>
          <w:szCs w:val="20"/>
        </w:rPr>
      </w:pPr>
    </w:p>
    <w:p w14:paraId="336262CE" w14:textId="77777777" w:rsidR="0036658E" w:rsidRPr="00115EC6" w:rsidRDefault="0036658E" w:rsidP="00FC2B2C">
      <w:pPr>
        <w:pStyle w:val="ITNumbered123"/>
        <w:numPr>
          <w:ilvl w:val="0"/>
          <w:numId w:val="0"/>
        </w:numPr>
        <w:spacing w:line="240" w:lineRule="auto"/>
        <w:ind w:left="360"/>
        <w:jc w:val="both"/>
        <w:rPr>
          <w:rFonts w:ascii="Gilroy-Medium" w:hAnsi="Gilroy-Medium"/>
          <w:b w:val="0"/>
          <w:szCs w:val="20"/>
        </w:rPr>
      </w:pPr>
    </w:p>
    <w:p w14:paraId="60753500" w14:textId="77777777" w:rsidR="0036658E" w:rsidRPr="00115EC6" w:rsidRDefault="0036658E" w:rsidP="00FC2B2C">
      <w:pPr>
        <w:pStyle w:val="ITNumbered123"/>
        <w:numPr>
          <w:ilvl w:val="0"/>
          <w:numId w:val="0"/>
        </w:numPr>
        <w:spacing w:line="240" w:lineRule="auto"/>
        <w:ind w:left="360"/>
        <w:jc w:val="both"/>
        <w:rPr>
          <w:rFonts w:ascii="Gilroy-Medium" w:hAnsi="Gilroy-Medium"/>
          <w:b w:val="0"/>
          <w:szCs w:val="20"/>
        </w:rPr>
      </w:pPr>
    </w:p>
    <w:p w14:paraId="0B7F3BBC" w14:textId="77777777" w:rsidR="0036658E" w:rsidRPr="00115EC6" w:rsidRDefault="0036658E" w:rsidP="00FC2B2C">
      <w:pPr>
        <w:pStyle w:val="PlainText"/>
        <w:numPr>
          <w:ilvl w:val="0"/>
          <w:numId w:val="7"/>
        </w:numPr>
        <w:spacing w:before="240"/>
        <w:jc w:val="both"/>
        <w:rPr>
          <w:rFonts w:ascii="Gilroy-Medium" w:eastAsia="MS Mincho" w:hAnsi="Gilroy-Medium" w:cs="Arial"/>
          <w:b/>
        </w:rPr>
      </w:pPr>
      <w:r w:rsidRPr="00115EC6">
        <w:rPr>
          <w:rFonts w:ascii="Gilroy-Medium" w:eastAsia="MS Mincho" w:hAnsi="Gilroy-Medium" w:cs="Arial"/>
          <w:b/>
        </w:rPr>
        <w:t>Roles and Responsibilities</w:t>
      </w:r>
    </w:p>
    <w:p w14:paraId="2B236301" w14:textId="77777777" w:rsidR="0036658E" w:rsidRPr="00115EC6" w:rsidRDefault="0036658E" w:rsidP="00FC2B2C">
      <w:pPr>
        <w:jc w:val="both"/>
        <w:rPr>
          <w:rFonts w:ascii="Gilroy-Medium" w:eastAsiaTheme="minorHAnsi" w:hAnsi="Gilroy-Medium" w:cstheme="minorBidi"/>
          <w:b/>
          <w:sz w:val="20"/>
          <w:szCs w:val="20"/>
        </w:rPr>
      </w:pPr>
    </w:p>
    <w:tbl>
      <w:tblPr>
        <w:tblStyle w:val="TableGrid"/>
        <w:tblW w:w="0" w:type="auto"/>
        <w:tblInd w:w="108" w:type="dxa"/>
        <w:tblLook w:val="04A0" w:firstRow="1" w:lastRow="0" w:firstColumn="1" w:lastColumn="0" w:noHBand="0" w:noVBand="1"/>
      </w:tblPr>
      <w:tblGrid>
        <w:gridCol w:w="1730"/>
        <w:gridCol w:w="7512"/>
      </w:tblGrid>
      <w:tr w:rsidR="0036658E" w:rsidRPr="00692FB8" w14:paraId="73170C36" w14:textId="77777777" w:rsidTr="0092382C">
        <w:trPr>
          <w:tblHeader/>
        </w:trPr>
        <w:tc>
          <w:tcPr>
            <w:tcW w:w="1730" w:type="dxa"/>
            <w:tcBorders>
              <w:bottom w:val="single" w:sz="4" w:space="0" w:color="auto"/>
            </w:tcBorders>
            <w:shd w:val="clear" w:color="auto" w:fill="000000"/>
          </w:tcPr>
          <w:p w14:paraId="0799F0B0" w14:textId="77777777" w:rsidR="0036658E" w:rsidRPr="00115EC6" w:rsidRDefault="0036658E" w:rsidP="00FC2B2C">
            <w:pPr>
              <w:jc w:val="both"/>
              <w:rPr>
                <w:rFonts w:ascii="Gilroy-Medium" w:eastAsiaTheme="minorHAnsi" w:hAnsi="Gilroy-Medium" w:cstheme="minorBidi"/>
                <w:b/>
                <w:smallCaps/>
                <w:sz w:val="20"/>
                <w:szCs w:val="20"/>
                <w:lang w:val="en-CA"/>
              </w:rPr>
            </w:pPr>
            <w:r w:rsidRPr="00115EC6">
              <w:rPr>
                <w:rFonts w:ascii="Gilroy-Medium" w:eastAsiaTheme="minorHAnsi" w:hAnsi="Gilroy-Medium" w:cstheme="minorBidi"/>
                <w:b/>
                <w:smallCaps/>
                <w:sz w:val="20"/>
                <w:szCs w:val="20"/>
              </w:rPr>
              <w:t>STAKEHOLDER</w:t>
            </w:r>
          </w:p>
        </w:tc>
        <w:tc>
          <w:tcPr>
            <w:tcW w:w="7512" w:type="dxa"/>
            <w:shd w:val="clear" w:color="auto" w:fill="000000"/>
          </w:tcPr>
          <w:p w14:paraId="37B342D1" w14:textId="77777777" w:rsidR="0036658E" w:rsidRPr="00115EC6" w:rsidRDefault="0036658E" w:rsidP="00FC2B2C">
            <w:pPr>
              <w:jc w:val="both"/>
              <w:rPr>
                <w:rFonts w:ascii="Gilroy-Medium" w:eastAsiaTheme="minorHAnsi" w:hAnsi="Gilroy-Medium" w:cstheme="minorBidi"/>
                <w:b/>
                <w:smallCaps/>
                <w:sz w:val="20"/>
                <w:szCs w:val="20"/>
                <w:lang w:val="en-CA"/>
              </w:rPr>
            </w:pPr>
            <w:r w:rsidRPr="00115EC6">
              <w:rPr>
                <w:rFonts w:ascii="Gilroy-Medium" w:eastAsiaTheme="minorHAnsi" w:hAnsi="Gilroy-Medium" w:cstheme="minorBidi"/>
                <w:b/>
                <w:smallCaps/>
                <w:sz w:val="20"/>
                <w:szCs w:val="20"/>
              </w:rPr>
              <w:t>RESPONSIBILITIES</w:t>
            </w:r>
          </w:p>
        </w:tc>
      </w:tr>
      <w:tr w:rsidR="0036658E" w:rsidRPr="00692FB8" w14:paraId="170A2329" w14:textId="77777777" w:rsidTr="0092382C">
        <w:tc>
          <w:tcPr>
            <w:tcW w:w="1730" w:type="dxa"/>
            <w:shd w:val="clear" w:color="auto" w:fill="auto"/>
          </w:tcPr>
          <w:p w14:paraId="563C6DF9" w14:textId="77777777" w:rsidR="0036658E" w:rsidRPr="00115EC6" w:rsidRDefault="0036658E" w:rsidP="00FC2B2C">
            <w:pPr>
              <w:spacing w:before="60" w:after="60"/>
              <w:rPr>
                <w:rFonts w:ascii="Gilroy-Medium" w:eastAsiaTheme="minorHAnsi" w:hAnsi="Gilroy-Medium"/>
                <w:sz w:val="20"/>
                <w:szCs w:val="20"/>
                <w:lang w:val="en-CA"/>
              </w:rPr>
            </w:pPr>
            <w:r w:rsidRPr="00115EC6">
              <w:rPr>
                <w:rFonts w:ascii="Gilroy-Medium" w:eastAsiaTheme="minorHAnsi" w:hAnsi="Gilroy-Medium"/>
                <w:sz w:val="20"/>
                <w:szCs w:val="20"/>
              </w:rPr>
              <w:t>Executive Council</w:t>
            </w:r>
          </w:p>
        </w:tc>
        <w:tc>
          <w:tcPr>
            <w:tcW w:w="7512" w:type="dxa"/>
          </w:tcPr>
          <w:p w14:paraId="6753DB1F" w14:textId="77777777" w:rsidR="0036658E" w:rsidRPr="00115EC6" w:rsidRDefault="0036658E" w:rsidP="00FC2B2C">
            <w:pPr>
              <w:pStyle w:val="ListParagraph"/>
              <w:widowControl/>
              <w:numPr>
                <w:ilvl w:val="0"/>
                <w:numId w:val="11"/>
              </w:numPr>
              <w:autoSpaceDE/>
              <w:autoSpaceDN/>
              <w:spacing w:before="60" w:after="60"/>
              <w:contextualSpacing/>
              <w:rPr>
                <w:rFonts w:ascii="Gilroy-Medium" w:hAnsi="Gilroy-Medium"/>
                <w:sz w:val="20"/>
                <w:szCs w:val="20"/>
                <w:lang w:val="en-CA"/>
              </w:rPr>
            </w:pPr>
            <w:r w:rsidRPr="00115EC6">
              <w:rPr>
                <w:rFonts w:ascii="Gilroy-Medium" w:hAnsi="Gilroy-Medium"/>
                <w:sz w:val="20"/>
                <w:szCs w:val="20"/>
              </w:rPr>
              <w:t>Approve and formally support this policy.</w:t>
            </w:r>
          </w:p>
        </w:tc>
      </w:tr>
      <w:tr w:rsidR="0036658E" w:rsidRPr="00692FB8" w14:paraId="1A95DB3D" w14:textId="77777777" w:rsidTr="0092382C">
        <w:trPr>
          <w:trHeight w:val="558"/>
        </w:trPr>
        <w:tc>
          <w:tcPr>
            <w:tcW w:w="1730" w:type="dxa"/>
          </w:tcPr>
          <w:p w14:paraId="7AF388C6" w14:textId="77777777" w:rsidR="0036658E" w:rsidRPr="00115EC6" w:rsidRDefault="0036658E" w:rsidP="00FC2B2C">
            <w:pPr>
              <w:spacing w:before="60"/>
              <w:rPr>
                <w:rFonts w:ascii="Gilroy-Medium" w:hAnsi="Gilroy-Medium"/>
                <w:sz w:val="20"/>
                <w:szCs w:val="20"/>
              </w:rPr>
            </w:pPr>
            <w:r w:rsidRPr="00115EC6">
              <w:rPr>
                <w:rFonts w:ascii="Gilroy-Medium" w:hAnsi="Gilroy-Medium"/>
                <w:sz w:val="20"/>
                <w:szCs w:val="20"/>
              </w:rPr>
              <w:t>Vice-President, Corporate Services</w:t>
            </w:r>
          </w:p>
        </w:tc>
        <w:tc>
          <w:tcPr>
            <w:tcW w:w="7512" w:type="dxa"/>
          </w:tcPr>
          <w:p w14:paraId="6BD30C90" w14:textId="77777777" w:rsidR="0036658E" w:rsidRPr="00115EC6" w:rsidRDefault="0036658E" w:rsidP="00FC2B2C">
            <w:pPr>
              <w:widowControl/>
              <w:numPr>
                <w:ilvl w:val="0"/>
                <w:numId w:val="12"/>
              </w:numPr>
              <w:autoSpaceDE/>
              <w:autoSpaceDN/>
              <w:spacing w:before="60"/>
              <w:ind w:left="357" w:hanging="357"/>
              <w:rPr>
                <w:rFonts w:ascii="Gilroy-Medium" w:hAnsi="Gilroy-Medium"/>
                <w:sz w:val="20"/>
                <w:szCs w:val="20"/>
              </w:rPr>
            </w:pPr>
            <w:r w:rsidRPr="00115EC6">
              <w:rPr>
                <w:rFonts w:ascii="Gilroy-Medium" w:hAnsi="Gilroy-Medium"/>
                <w:sz w:val="20"/>
                <w:szCs w:val="20"/>
              </w:rPr>
              <w:t>Review and formally support this policy.</w:t>
            </w:r>
          </w:p>
        </w:tc>
      </w:tr>
      <w:tr w:rsidR="0036658E" w:rsidRPr="00692FB8" w14:paraId="0135E27F" w14:textId="77777777" w:rsidTr="0092382C">
        <w:tc>
          <w:tcPr>
            <w:tcW w:w="1730" w:type="dxa"/>
            <w:shd w:val="clear" w:color="auto" w:fill="auto"/>
          </w:tcPr>
          <w:p w14:paraId="02086E6F" w14:textId="77777777" w:rsidR="0036658E" w:rsidRPr="00115EC6" w:rsidRDefault="0036658E" w:rsidP="00FC2B2C">
            <w:pPr>
              <w:spacing w:before="120"/>
              <w:rPr>
                <w:rFonts w:ascii="Gilroy-Medium" w:eastAsiaTheme="minorHAnsi" w:hAnsi="Gilroy-Medium"/>
                <w:sz w:val="20"/>
                <w:szCs w:val="20"/>
                <w:lang w:val="en-CA"/>
              </w:rPr>
            </w:pPr>
            <w:r w:rsidRPr="00115EC6">
              <w:rPr>
                <w:rFonts w:ascii="Gilroy-Medium" w:eastAsiaTheme="minorHAnsi" w:hAnsi="Gilroy-Medium"/>
                <w:sz w:val="20"/>
                <w:szCs w:val="20"/>
              </w:rPr>
              <w:t>Information and Privacy Coordinator</w:t>
            </w:r>
          </w:p>
        </w:tc>
        <w:tc>
          <w:tcPr>
            <w:tcW w:w="7512" w:type="dxa"/>
          </w:tcPr>
          <w:p w14:paraId="18813F71" w14:textId="77777777" w:rsidR="0036658E" w:rsidRPr="00115EC6" w:rsidRDefault="0036658E" w:rsidP="00FC2B2C">
            <w:pPr>
              <w:widowControl/>
              <w:numPr>
                <w:ilvl w:val="0"/>
                <w:numId w:val="10"/>
              </w:numPr>
              <w:autoSpaceDE/>
              <w:autoSpaceDN/>
              <w:spacing w:before="60"/>
              <w:ind w:left="357" w:hanging="357"/>
              <w:rPr>
                <w:rFonts w:ascii="Gilroy-Medium" w:hAnsi="Gilroy-Medium"/>
                <w:sz w:val="20"/>
                <w:szCs w:val="20"/>
              </w:rPr>
            </w:pPr>
            <w:r w:rsidRPr="00115EC6">
              <w:rPr>
                <w:rFonts w:ascii="Gilroy-Medium" w:hAnsi="Gilroy-Medium"/>
                <w:sz w:val="20"/>
                <w:szCs w:val="20"/>
              </w:rPr>
              <w:t>Develop and maintain this policy.</w:t>
            </w:r>
          </w:p>
          <w:p w14:paraId="316B7E7D" w14:textId="77777777" w:rsidR="0036658E" w:rsidRPr="00115EC6" w:rsidRDefault="0036658E" w:rsidP="00FC2B2C">
            <w:pPr>
              <w:widowControl/>
              <w:numPr>
                <w:ilvl w:val="0"/>
                <w:numId w:val="10"/>
              </w:numPr>
              <w:autoSpaceDE/>
              <w:autoSpaceDN/>
              <w:ind w:left="357" w:hanging="357"/>
              <w:rPr>
                <w:rFonts w:ascii="Gilroy-Medium" w:hAnsi="Gilroy-Medium"/>
                <w:sz w:val="20"/>
                <w:szCs w:val="20"/>
              </w:rPr>
            </w:pPr>
            <w:r w:rsidRPr="00115EC6">
              <w:rPr>
                <w:rFonts w:ascii="Gilroy-Medium" w:hAnsi="Gilroy-Medium"/>
                <w:sz w:val="20"/>
                <w:szCs w:val="20"/>
              </w:rPr>
              <w:t>Review and approve any exception requests relative to the requirements in this policy.</w:t>
            </w:r>
          </w:p>
          <w:p w14:paraId="03E040E1" w14:textId="77777777" w:rsidR="0036658E" w:rsidRPr="00115EC6" w:rsidRDefault="0036658E" w:rsidP="00FC2B2C">
            <w:pPr>
              <w:pStyle w:val="ListParagraph"/>
              <w:widowControl/>
              <w:numPr>
                <w:ilvl w:val="0"/>
                <w:numId w:val="10"/>
              </w:numPr>
              <w:autoSpaceDE/>
              <w:autoSpaceDN/>
              <w:ind w:left="357" w:hanging="357"/>
              <w:rPr>
                <w:rFonts w:ascii="Gilroy-Medium" w:hAnsi="Gilroy-Medium"/>
                <w:sz w:val="20"/>
                <w:szCs w:val="20"/>
                <w:lang w:val="en-CA"/>
              </w:rPr>
            </w:pPr>
            <w:r w:rsidRPr="00115EC6">
              <w:rPr>
                <w:rFonts w:ascii="Gilroy-Medium" w:hAnsi="Gilroy-Medium"/>
                <w:sz w:val="20"/>
                <w:szCs w:val="20"/>
              </w:rPr>
              <w:t>Take proactive steps to reinforce compliance with this policy by all stakeholders.</w:t>
            </w:r>
          </w:p>
          <w:p w14:paraId="4D25A572" w14:textId="77777777" w:rsidR="0036658E" w:rsidRPr="00115EC6" w:rsidRDefault="0036658E" w:rsidP="00FC2B2C">
            <w:pPr>
              <w:pStyle w:val="ListParagraph"/>
              <w:widowControl/>
              <w:numPr>
                <w:ilvl w:val="0"/>
                <w:numId w:val="10"/>
              </w:numPr>
              <w:autoSpaceDE/>
              <w:autoSpaceDN/>
              <w:ind w:left="357" w:hanging="357"/>
              <w:rPr>
                <w:rFonts w:ascii="Gilroy-Medium" w:hAnsi="Gilroy-Medium"/>
                <w:sz w:val="20"/>
                <w:szCs w:val="20"/>
                <w:lang w:val="en-CA"/>
              </w:rPr>
            </w:pPr>
            <w:r w:rsidRPr="00115EC6">
              <w:rPr>
                <w:rFonts w:ascii="Gilroy-Medium" w:hAnsi="Gilroy-Medium"/>
                <w:sz w:val="20"/>
                <w:szCs w:val="20"/>
              </w:rPr>
              <w:t>Overall development and implementation of the Privacy program</w:t>
            </w:r>
          </w:p>
          <w:p w14:paraId="3848D89C" w14:textId="77777777" w:rsidR="0036658E" w:rsidRPr="00115EC6" w:rsidRDefault="0036658E" w:rsidP="00FC2B2C">
            <w:pPr>
              <w:pStyle w:val="ListParagraph"/>
              <w:widowControl/>
              <w:numPr>
                <w:ilvl w:val="0"/>
                <w:numId w:val="10"/>
              </w:numPr>
              <w:autoSpaceDE/>
              <w:autoSpaceDN/>
              <w:ind w:left="357" w:hanging="357"/>
              <w:rPr>
                <w:rFonts w:ascii="Gilroy-Medium" w:hAnsi="Gilroy-Medium"/>
                <w:sz w:val="20"/>
                <w:szCs w:val="20"/>
                <w:lang w:val="en-CA"/>
              </w:rPr>
            </w:pPr>
            <w:r w:rsidRPr="00115EC6">
              <w:rPr>
                <w:rFonts w:ascii="Gilroy-Medium" w:hAnsi="Gilroy-Medium"/>
                <w:sz w:val="20"/>
                <w:szCs w:val="20"/>
              </w:rPr>
              <w:t>Supervision of the operation of the program including the review and establishment of personal information banks, security protocols, privacy notices and forms, etc.</w:t>
            </w:r>
          </w:p>
          <w:p w14:paraId="5DAABC7A" w14:textId="77777777" w:rsidR="0036658E" w:rsidRPr="00115EC6" w:rsidRDefault="0036658E" w:rsidP="00FC2B2C">
            <w:pPr>
              <w:pStyle w:val="ListParagraph"/>
              <w:widowControl/>
              <w:numPr>
                <w:ilvl w:val="0"/>
                <w:numId w:val="10"/>
              </w:numPr>
              <w:autoSpaceDE/>
              <w:autoSpaceDN/>
              <w:spacing w:before="60" w:after="60"/>
              <w:contextualSpacing/>
              <w:rPr>
                <w:rFonts w:ascii="Gilroy-Medium" w:hAnsi="Gilroy-Medium"/>
                <w:sz w:val="20"/>
                <w:szCs w:val="20"/>
                <w:lang w:val="en-CA"/>
              </w:rPr>
            </w:pPr>
            <w:r w:rsidRPr="00115EC6">
              <w:rPr>
                <w:rFonts w:ascii="Gilroy-Medium" w:hAnsi="Gilroy-Medium"/>
                <w:sz w:val="20"/>
                <w:szCs w:val="20"/>
              </w:rPr>
              <w:t>Manage all access to information requests</w:t>
            </w:r>
          </w:p>
          <w:p w14:paraId="7A0D6C0F" w14:textId="77777777" w:rsidR="0036658E" w:rsidRPr="00115EC6" w:rsidRDefault="0036658E" w:rsidP="00FC2B2C">
            <w:pPr>
              <w:pStyle w:val="ListParagraph"/>
              <w:widowControl/>
              <w:numPr>
                <w:ilvl w:val="0"/>
                <w:numId w:val="10"/>
              </w:numPr>
              <w:autoSpaceDE/>
              <w:autoSpaceDN/>
              <w:spacing w:before="60" w:after="60"/>
              <w:contextualSpacing/>
              <w:rPr>
                <w:rFonts w:ascii="Gilroy-Medium" w:hAnsi="Gilroy-Medium"/>
                <w:sz w:val="20"/>
                <w:szCs w:val="20"/>
                <w:lang w:val="en-CA"/>
              </w:rPr>
            </w:pPr>
            <w:r w:rsidRPr="00115EC6">
              <w:rPr>
                <w:rFonts w:ascii="Gilroy-Medium" w:hAnsi="Gilroy-Medium"/>
                <w:sz w:val="20"/>
                <w:szCs w:val="20"/>
              </w:rPr>
              <w:t>Manage all privacy breach responses</w:t>
            </w:r>
          </w:p>
          <w:p w14:paraId="6FF7702F" w14:textId="77777777" w:rsidR="0036658E" w:rsidRPr="00115EC6" w:rsidRDefault="0036658E" w:rsidP="00FC2B2C">
            <w:pPr>
              <w:pStyle w:val="ListParagraph"/>
              <w:widowControl/>
              <w:numPr>
                <w:ilvl w:val="0"/>
                <w:numId w:val="10"/>
              </w:numPr>
              <w:autoSpaceDE/>
              <w:autoSpaceDN/>
              <w:spacing w:before="60" w:after="60"/>
              <w:contextualSpacing/>
              <w:rPr>
                <w:rFonts w:ascii="Gilroy-Medium" w:hAnsi="Gilroy-Medium"/>
                <w:sz w:val="20"/>
                <w:szCs w:val="20"/>
                <w:lang w:val="en-CA"/>
              </w:rPr>
            </w:pPr>
            <w:r w:rsidRPr="00115EC6">
              <w:rPr>
                <w:rFonts w:ascii="Gilroy-Medium" w:hAnsi="Gilroy-Medium"/>
                <w:sz w:val="20"/>
                <w:szCs w:val="20"/>
              </w:rPr>
              <w:t>Ensure training and publication of privacy expectations</w:t>
            </w:r>
          </w:p>
          <w:p w14:paraId="0297BB48" w14:textId="77777777" w:rsidR="0036658E" w:rsidRPr="00115EC6" w:rsidRDefault="0036658E" w:rsidP="00FC2B2C">
            <w:pPr>
              <w:pStyle w:val="ListParagraph"/>
              <w:widowControl/>
              <w:numPr>
                <w:ilvl w:val="0"/>
                <w:numId w:val="10"/>
              </w:numPr>
              <w:autoSpaceDE/>
              <w:autoSpaceDN/>
              <w:spacing w:before="60" w:after="60"/>
              <w:contextualSpacing/>
              <w:rPr>
                <w:rFonts w:ascii="Gilroy-Medium" w:hAnsi="Gilroy-Medium"/>
                <w:sz w:val="20"/>
                <w:szCs w:val="20"/>
                <w:lang w:val="en-CA"/>
              </w:rPr>
            </w:pPr>
            <w:r w:rsidRPr="00115EC6">
              <w:rPr>
                <w:rFonts w:ascii="Gilroy-Medium" w:hAnsi="Gilroy-Medium"/>
                <w:sz w:val="20"/>
                <w:szCs w:val="20"/>
              </w:rPr>
              <w:t>Ensure consent is received at collection points</w:t>
            </w:r>
          </w:p>
          <w:p w14:paraId="11F8648B" w14:textId="77777777" w:rsidR="0036658E" w:rsidRPr="00115EC6" w:rsidRDefault="0036658E" w:rsidP="00FC2B2C">
            <w:pPr>
              <w:pStyle w:val="ListParagraph"/>
              <w:widowControl/>
              <w:numPr>
                <w:ilvl w:val="0"/>
                <w:numId w:val="10"/>
              </w:numPr>
              <w:autoSpaceDE/>
              <w:autoSpaceDN/>
              <w:spacing w:before="60" w:after="60"/>
              <w:contextualSpacing/>
              <w:rPr>
                <w:rFonts w:ascii="Gilroy-Medium" w:hAnsi="Gilroy-Medium"/>
                <w:sz w:val="20"/>
                <w:szCs w:val="20"/>
                <w:lang w:val="en-CA"/>
              </w:rPr>
            </w:pPr>
            <w:r w:rsidRPr="00115EC6">
              <w:rPr>
                <w:rFonts w:ascii="Gilroy-Medium" w:hAnsi="Gilroy-Medium"/>
                <w:sz w:val="20"/>
                <w:szCs w:val="20"/>
              </w:rPr>
              <w:t>Manage disposition of personal information, as required.</w:t>
            </w:r>
          </w:p>
        </w:tc>
      </w:tr>
      <w:tr w:rsidR="0036658E" w:rsidRPr="00692FB8" w14:paraId="5354AF7C" w14:textId="77777777" w:rsidTr="0092382C">
        <w:trPr>
          <w:trHeight w:val="558"/>
        </w:trPr>
        <w:tc>
          <w:tcPr>
            <w:tcW w:w="1730" w:type="dxa"/>
          </w:tcPr>
          <w:p w14:paraId="0B3EDCE2" w14:textId="77777777" w:rsidR="0036658E" w:rsidRPr="00115EC6" w:rsidRDefault="0036658E" w:rsidP="00FC2B2C">
            <w:pPr>
              <w:spacing w:before="60" w:after="60"/>
              <w:rPr>
                <w:rFonts w:ascii="Gilroy-Medium" w:hAnsi="Gilroy-Medium"/>
                <w:sz w:val="20"/>
                <w:szCs w:val="20"/>
              </w:rPr>
            </w:pPr>
            <w:r w:rsidRPr="00115EC6">
              <w:rPr>
                <w:rFonts w:ascii="Gilroy-Medium" w:hAnsi="Gilroy-Medium"/>
                <w:sz w:val="20"/>
                <w:szCs w:val="20"/>
              </w:rPr>
              <w:t>Institution Management, Supervisors or Representatives</w:t>
            </w:r>
          </w:p>
        </w:tc>
        <w:tc>
          <w:tcPr>
            <w:tcW w:w="7512" w:type="dxa"/>
          </w:tcPr>
          <w:p w14:paraId="05AC8D2B" w14:textId="77777777" w:rsidR="0036658E" w:rsidRPr="00115EC6" w:rsidRDefault="0036658E" w:rsidP="00FC2B2C">
            <w:pPr>
              <w:pStyle w:val="ListParagraph"/>
              <w:widowControl/>
              <w:numPr>
                <w:ilvl w:val="0"/>
                <w:numId w:val="12"/>
              </w:numPr>
              <w:autoSpaceDE/>
              <w:autoSpaceDN/>
              <w:spacing w:before="60"/>
              <w:ind w:left="357" w:hanging="357"/>
              <w:rPr>
                <w:rFonts w:ascii="Gilroy-Medium" w:hAnsi="Gilroy-Medium"/>
                <w:sz w:val="20"/>
                <w:szCs w:val="20"/>
              </w:rPr>
            </w:pPr>
            <w:r w:rsidRPr="00115EC6">
              <w:rPr>
                <w:rFonts w:ascii="Gilroy-Medium" w:hAnsi="Gilroy-Medium"/>
                <w:sz w:val="20"/>
                <w:szCs w:val="20"/>
              </w:rPr>
              <w:t>Explain the terms of this policy to employees and students and assist users to understand the requirements of this policy.</w:t>
            </w:r>
          </w:p>
          <w:p w14:paraId="47B0590A" w14:textId="77777777" w:rsidR="0036658E" w:rsidRPr="00115EC6" w:rsidRDefault="0036658E" w:rsidP="00FC2B2C">
            <w:pPr>
              <w:pStyle w:val="ListParagraph"/>
              <w:widowControl/>
              <w:numPr>
                <w:ilvl w:val="0"/>
                <w:numId w:val="12"/>
              </w:numPr>
              <w:autoSpaceDE/>
              <w:autoSpaceDN/>
              <w:rPr>
                <w:rFonts w:ascii="Gilroy-Medium" w:hAnsi="Gilroy-Medium"/>
                <w:sz w:val="20"/>
                <w:szCs w:val="20"/>
              </w:rPr>
            </w:pPr>
            <w:r w:rsidRPr="00115EC6">
              <w:rPr>
                <w:rFonts w:ascii="Gilroy-Medium" w:hAnsi="Gilroy-Medium"/>
                <w:sz w:val="20"/>
                <w:szCs w:val="20"/>
              </w:rPr>
              <w:t>Ensure that all users follow the requirements of this policy.</w:t>
            </w:r>
          </w:p>
        </w:tc>
      </w:tr>
      <w:tr w:rsidR="0036658E" w:rsidRPr="00692FB8" w14:paraId="396DD1F0" w14:textId="77777777" w:rsidTr="0092382C">
        <w:trPr>
          <w:trHeight w:val="558"/>
        </w:trPr>
        <w:tc>
          <w:tcPr>
            <w:tcW w:w="1730" w:type="dxa"/>
          </w:tcPr>
          <w:p w14:paraId="72DCF7EB" w14:textId="77777777" w:rsidR="0036658E" w:rsidRPr="00115EC6" w:rsidRDefault="0036658E" w:rsidP="00FC2B2C">
            <w:pPr>
              <w:spacing w:before="60"/>
              <w:rPr>
                <w:rFonts w:ascii="Gilroy-Medium" w:hAnsi="Gilroy-Medium"/>
                <w:sz w:val="20"/>
                <w:szCs w:val="20"/>
              </w:rPr>
            </w:pPr>
            <w:r w:rsidRPr="00115EC6">
              <w:rPr>
                <w:rFonts w:ascii="Gilroy-Medium" w:hAnsi="Gilroy-Medium"/>
                <w:sz w:val="20"/>
                <w:szCs w:val="20"/>
              </w:rPr>
              <w:t>Contract Administrators and Managers</w:t>
            </w:r>
          </w:p>
        </w:tc>
        <w:tc>
          <w:tcPr>
            <w:tcW w:w="7512" w:type="dxa"/>
          </w:tcPr>
          <w:p w14:paraId="221FE457" w14:textId="77777777" w:rsidR="0036658E" w:rsidRPr="00115EC6" w:rsidRDefault="0036658E" w:rsidP="00FC2B2C">
            <w:pPr>
              <w:widowControl/>
              <w:numPr>
                <w:ilvl w:val="0"/>
                <w:numId w:val="12"/>
              </w:numPr>
              <w:autoSpaceDE/>
              <w:autoSpaceDN/>
              <w:spacing w:before="60"/>
              <w:ind w:left="357" w:hanging="357"/>
              <w:rPr>
                <w:rFonts w:ascii="Gilroy-Medium" w:hAnsi="Gilroy-Medium"/>
                <w:sz w:val="20"/>
                <w:szCs w:val="20"/>
              </w:rPr>
            </w:pPr>
            <w:r w:rsidRPr="00115EC6">
              <w:rPr>
                <w:rFonts w:ascii="Gilroy-Medium" w:hAnsi="Gilroy-Medium"/>
                <w:sz w:val="20"/>
                <w:szCs w:val="20"/>
              </w:rPr>
              <w:t>Follow the guidelines provided in this policy when performing due diligence and assessment of the risks related to security for any new contract.</w:t>
            </w:r>
          </w:p>
          <w:p w14:paraId="3C879BB9" w14:textId="77777777" w:rsidR="0036658E" w:rsidRPr="00115EC6" w:rsidRDefault="0036658E" w:rsidP="00FC2B2C">
            <w:pPr>
              <w:widowControl/>
              <w:numPr>
                <w:ilvl w:val="0"/>
                <w:numId w:val="12"/>
              </w:numPr>
              <w:autoSpaceDE/>
              <w:autoSpaceDN/>
              <w:spacing w:after="60"/>
              <w:ind w:left="357" w:hanging="357"/>
              <w:rPr>
                <w:rFonts w:ascii="Gilroy-Medium" w:hAnsi="Gilroy-Medium"/>
                <w:sz w:val="20"/>
                <w:szCs w:val="20"/>
              </w:rPr>
            </w:pPr>
            <w:r w:rsidRPr="00115EC6">
              <w:rPr>
                <w:rFonts w:ascii="Gilroy-Medium" w:hAnsi="Gilroy-Medium"/>
                <w:sz w:val="20"/>
                <w:szCs w:val="20"/>
              </w:rPr>
              <w:t>Ensure that responsibilities and obligations of each party to the contractual relationship are outlined in the contract executed between the Institution and the contractor/sub-contractor.</w:t>
            </w:r>
          </w:p>
        </w:tc>
      </w:tr>
      <w:tr w:rsidR="0036658E" w:rsidRPr="00692FB8" w14:paraId="0F67CE2A" w14:textId="77777777" w:rsidTr="0092382C">
        <w:tc>
          <w:tcPr>
            <w:tcW w:w="1730" w:type="dxa"/>
          </w:tcPr>
          <w:p w14:paraId="451BB3D6" w14:textId="77777777" w:rsidR="0036658E" w:rsidRPr="00115EC6" w:rsidRDefault="0036658E" w:rsidP="00FC2B2C">
            <w:pPr>
              <w:spacing w:before="60" w:after="60"/>
              <w:rPr>
                <w:rFonts w:ascii="Gilroy-Medium" w:hAnsi="Gilroy-Medium"/>
                <w:sz w:val="20"/>
                <w:szCs w:val="20"/>
              </w:rPr>
            </w:pPr>
            <w:r w:rsidRPr="00115EC6">
              <w:rPr>
                <w:rFonts w:ascii="Gilroy-Medium" w:hAnsi="Gilroy-Medium"/>
                <w:sz w:val="20"/>
                <w:szCs w:val="20"/>
              </w:rPr>
              <w:t xml:space="preserve">Human Resources </w:t>
            </w:r>
          </w:p>
        </w:tc>
        <w:tc>
          <w:tcPr>
            <w:tcW w:w="7512" w:type="dxa"/>
          </w:tcPr>
          <w:p w14:paraId="52CEF5CD" w14:textId="77777777" w:rsidR="0036658E" w:rsidRPr="00115EC6" w:rsidRDefault="0036658E" w:rsidP="00FC2B2C">
            <w:pPr>
              <w:widowControl/>
              <w:numPr>
                <w:ilvl w:val="0"/>
                <w:numId w:val="12"/>
              </w:numPr>
              <w:autoSpaceDE/>
              <w:autoSpaceDN/>
              <w:spacing w:before="60" w:after="60"/>
              <w:rPr>
                <w:rFonts w:ascii="Gilroy-Medium" w:hAnsi="Gilroy-Medium"/>
                <w:color w:val="000000"/>
                <w:sz w:val="20"/>
                <w:szCs w:val="20"/>
              </w:rPr>
            </w:pPr>
            <w:r w:rsidRPr="00115EC6">
              <w:rPr>
                <w:rFonts w:ascii="Gilroy-Medium" w:hAnsi="Gilroy-Medium"/>
                <w:color w:val="000000"/>
                <w:sz w:val="20"/>
                <w:szCs w:val="20"/>
              </w:rPr>
              <w:t>Present each new employee or contractor with the existing NWP policies, upon the first day of commencing work with NWP.</w:t>
            </w:r>
          </w:p>
          <w:p w14:paraId="68B8AA3D" w14:textId="77777777" w:rsidR="0036658E" w:rsidRPr="00115EC6" w:rsidRDefault="0036658E" w:rsidP="00FC2B2C">
            <w:pPr>
              <w:widowControl/>
              <w:numPr>
                <w:ilvl w:val="0"/>
                <w:numId w:val="12"/>
              </w:numPr>
              <w:autoSpaceDE/>
              <w:autoSpaceDN/>
              <w:spacing w:before="60" w:after="60"/>
              <w:rPr>
                <w:rFonts w:ascii="Gilroy-Medium" w:hAnsi="Gilroy-Medium"/>
                <w:color w:val="000000"/>
                <w:sz w:val="20"/>
                <w:szCs w:val="20"/>
              </w:rPr>
            </w:pPr>
            <w:r w:rsidRPr="00115EC6">
              <w:rPr>
                <w:rFonts w:ascii="Gilroy-Medium" w:hAnsi="Gilroy-Medium"/>
                <w:color w:val="000000"/>
                <w:sz w:val="20"/>
                <w:szCs w:val="20"/>
              </w:rPr>
              <w:t>Support all employees and students in the understanding of the requirements of this policy.</w:t>
            </w:r>
          </w:p>
        </w:tc>
      </w:tr>
      <w:tr w:rsidR="0036658E" w:rsidRPr="00692FB8" w14:paraId="57070F70" w14:textId="77777777" w:rsidTr="0092382C">
        <w:tc>
          <w:tcPr>
            <w:tcW w:w="1730" w:type="dxa"/>
          </w:tcPr>
          <w:p w14:paraId="1C5CD93B" w14:textId="77777777" w:rsidR="0036658E" w:rsidRPr="00115EC6" w:rsidRDefault="0036658E" w:rsidP="00FC2B2C">
            <w:pPr>
              <w:spacing w:before="60" w:after="60"/>
              <w:rPr>
                <w:rFonts w:ascii="Gilroy-Medium" w:hAnsi="Gilroy-Medium"/>
                <w:sz w:val="20"/>
                <w:szCs w:val="20"/>
              </w:rPr>
            </w:pPr>
            <w:r w:rsidRPr="00115EC6">
              <w:rPr>
                <w:rFonts w:ascii="Gilroy-Medium" w:hAnsi="Gilroy-Medium"/>
                <w:sz w:val="20"/>
                <w:szCs w:val="20"/>
              </w:rPr>
              <w:t>All users (Employees and contractors, Students, Visitors and or Volunteers)</w:t>
            </w:r>
          </w:p>
        </w:tc>
        <w:tc>
          <w:tcPr>
            <w:tcW w:w="7512" w:type="dxa"/>
          </w:tcPr>
          <w:p w14:paraId="31067A36" w14:textId="77777777" w:rsidR="0036658E" w:rsidRPr="00115EC6" w:rsidRDefault="0036658E" w:rsidP="00FC2B2C">
            <w:pPr>
              <w:pStyle w:val="ListParagraph"/>
              <w:widowControl/>
              <w:numPr>
                <w:ilvl w:val="0"/>
                <w:numId w:val="12"/>
              </w:numPr>
              <w:autoSpaceDE/>
              <w:autoSpaceDN/>
              <w:spacing w:before="60" w:after="60"/>
              <w:rPr>
                <w:rFonts w:ascii="Gilroy-Medium" w:hAnsi="Gilroy-Medium"/>
                <w:sz w:val="20"/>
                <w:szCs w:val="20"/>
              </w:rPr>
            </w:pPr>
            <w:r w:rsidRPr="00115EC6">
              <w:rPr>
                <w:rFonts w:ascii="Gilroy-Medium" w:hAnsi="Gilroy-Medium"/>
                <w:color w:val="000000"/>
                <w:sz w:val="20"/>
                <w:szCs w:val="20"/>
              </w:rPr>
              <w:t>Always comply with the requirements of this policy as applicable to them.</w:t>
            </w:r>
          </w:p>
          <w:p w14:paraId="608B31EC" w14:textId="77777777" w:rsidR="0036658E" w:rsidRPr="00115EC6" w:rsidRDefault="0036658E" w:rsidP="00FC2B2C">
            <w:pPr>
              <w:pStyle w:val="ListParagraph"/>
              <w:widowControl/>
              <w:numPr>
                <w:ilvl w:val="0"/>
                <w:numId w:val="12"/>
              </w:numPr>
              <w:autoSpaceDE/>
              <w:autoSpaceDN/>
              <w:spacing w:before="60" w:after="60"/>
              <w:rPr>
                <w:rFonts w:ascii="Gilroy-Medium" w:hAnsi="Gilroy-Medium"/>
                <w:sz w:val="20"/>
                <w:szCs w:val="20"/>
              </w:rPr>
            </w:pPr>
            <w:r w:rsidRPr="00115EC6">
              <w:rPr>
                <w:rFonts w:ascii="Gilroy-Medium" w:hAnsi="Gilroy-Medium"/>
                <w:sz w:val="20"/>
                <w:szCs w:val="20"/>
              </w:rPr>
              <w:t>Report all non-compliance instances with this policy (observed or suspected) to their Supervisor, Instructor or Institution Representative as soon as possible.</w:t>
            </w:r>
          </w:p>
        </w:tc>
      </w:tr>
    </w:tbl>
    <w:p w14:paraId="44E81A52" w14:textId="77777777" w:rsidR="0036658E" w:rsidRPr="00115EC6" w:rsidRDefault="0036658E" w:rsidP="00FC2B2C">
      <w:pPr>
        <w:pStyle w:val="PlainText"/>
        <w:spacing w:before="240" w:after="120"/>
        <w:ind w:left="360"/>
        <w:rPr>
          <w:rFonts w:ascii="Gilroy-Medium" w:eastAsia="MS Mincho" w:hAnsi="Gilroy-Medium" w:cs="Arial"/>
          <w:b/>
        </w:rPr>
      </w:pPr>
    </w:p>
    <w:p w14:paraId="070D0A88" w14:textId="77777777" w:rsidR="0036658E" w:rsidRPr="00115EC6" w:rsidRDefault="0036658E" w:rsidP="00FC2B2C">
      <w:pPr>
        <w:pStyle w:val="PlainText"/>
        <w:spacing w:before="240" w:after="120"/>
        <w:ind w:left="360"/>
        <w:jc w:val="both"/>
        <w:rPr>
          <w:rFonts w:ascii="Gilroy-Medium" w:eastAsia="MS Mincho" w:hAnsi="Gilroy-Medium" w:cs="Arial"/>
          <w:b/>
        </w:rPr>
      </w:pPr>
    </w:p>
    <w:p w14:paraId="1A59C100" w14:textId="77777777" w:rsidR="0036658E" w:rsidRPr="00115EC6" w:rsidRDefault="0036658E" w:rsidP="00FC2B2C">
      <w:pPr>
        <w:pStyle w:val="PlainText"/>
        <w:spacing w:before="240" w:after="120"/>
        <w:ind w:left="360"/>
        <w:jc w:val="both"/>
        <w:rPr>
          <w:rFonts w:ascii="Gilroy-Medium" w:eastAsia="MS Mincho" w:hAnsi="Gilroy-Medium" w:cs="Arial"/>
          <w:b/>
        </w:rPr>
      </w:pPr>
    </w:p>
    <w:p w14:paraId="004DDC52" w14:textId="77777777" w:rsidR="0036658E" w:rsidRPr="00115EC6" w:rsidRDefault="0036658E" w:rsidP="00FC2B2C">
      <w:pPr>
        <w:pStyle w:val="PlainText"/>
        <w:numPr>
          <w:ilvl w:val="0"/>
          <w:numId w:val="7"/>
        </w:numPr>
        <w:spacing w:before="240" w:after="120"/>
        <w:jc w:val="both"/>
        <w:rPr>
          <w:rFonts w:ascii="Gilroy-Medium" w:eastAsia="MS Mincho" w:hAnsi="Gilroy-Medium" w:cs="Arial"/>
          <w:b/>
        </w:rPr>
      </w:pPr>
      <w:r w:rsidRPr="00115EC6">
        <w:rPr>
          <w:rFonts w:ascii="Gilroy-Medium" w:eastAsia="MS Mincho" w:hAnsi="Gilroy-Medium" w:cs="Arial"/>
          <w:b/>
        </w:rPr>
        <w:t>Exceptions to the Policy</w:t>
      </w:r>
    </w:p>
    <w:p w14:paraId="4609D58F" w14:textId="77777777" w:rsidR="0036658E" w:rsidRPr="00115EC6" w:rsidRDefault="0036658E" w:rsidP="00FC2B2C">
      <w:pPr>
        <w:pStyle w:val="ListParagraphNumbering"/>
        <w:ind w:left="810" w:hanging="450"/>
        <w:jc w:val="both"/>
        <w:rPr>
          <w:rFonts w:ascii="Gilroy-Medium" w:eastAsiaTheme="minorHAnsi" w:hAnsi="Gilroy-Medium"/>
          <w:lang w:val="en-CA"/>
        </w:rPr>
      </w:pPr>
      <w:r w:rsidRPr="00115EC6">
        <w:rPr>
          <w:rFonts w:ascii="Gilroy-Medium" w:eastAsiaTheme="minorHAnsi" w:hAnsi="Gilroy-Medium"/>
          <w:lang w:val="en-CA"/>
        </w:rPr>
        <w:t>Exceptions to the guiding principles in this policy must be documented and formally approved by the Vice-President, Corporate Services.</w:t>
      </w:r>
    </w:p>
    <w:p w14:paraId="0252A965" w14:textId="77777777" w:rsidR="0036658E" w:rsidRPr="00115EC6" w:rsidRDefault="0036658E" w:rsidP="00FC2B2C">
      <w:pPr>
        <w:pStyle w:val="ListParagraphNumbering"/>
        <w:ind w:left="810" w:hanging="450"/>
        <w:jc w:val="both"/>
        <w:rPr>
          <w:rFonts w:ascii="Gilroy-Medium" w:eastAsiaTheme="minorHAnsi" w:hAnsi="Gilroy-Medium"/>
          <w:lang w:val="en-CA"/>
        </w:rPr>
      </w:pPr>
      <w:r w:rsidRPr="00115EC6">
        <w:rPr>
          <w:rFonts w:ascii="Gilroy-Medium" w:eastAsiaTheme="minorHAnsi" w:hAnsi="Gilroy-Medium"/>
          <w:lang w:val="en-CA"/>
        </w:rPr>
        <w:t>Policy exceptions must describe:</w:t>
      </w:r>
    </w:p>
    <w:p w14:paraId="38392C68" w14:textId="77777777" w:rsidR="0036658E" w:rsidRPr="00115EC6" w:rsidRDefault="0036658E" w:rsidP="00FC2B2C">
      <w:pPr>
        <w:pStyle w:val="ListParagraphNumbering"/>
        <w:numPr>
          <w:ilvl w:val="2"/>
          <w:numId w:val="7"/>
        </w:numPr>
        <w:ind w:hanging="589"/>
        <w:jc w:val="both"/>
        <w:rPr>
          <w:rFonts w:ascii="Gilroy-Medium" w:eastAsiaTheme="minorHAnsi" w:hAnsi="Gilroy-Medium"/>
          <w:lang w:val="en-CA"/>
        </w:rPr>
      </w:pPr>
      <w:r w:rsidRPr="00115EC6">
        <w:rPr>
          <w:rFonts w:ascii="Gilroy-Medium" w:hAnsi="Gilroy-Medium"/>
          <w:lang w:val="en-CA"/>
        </w:rPr>
        <w:t>The nature of the exception</w:t>
      </w:r>
    </w:p>
    <w:p w14:paraId="04696BC7" w14:textId="77777777" w:rsidR="0036658E" w:rsidRPr="00115EC6" w:rsidRDefault="0036658E" w:rsidP="00FC2B2C">
      <w:pPr>
        <w:pStyle w:val="ListParagraphNumbering"/>
        <w:numPr>
          <w:ilvl w:val="2"/>
          <w:numId w:val="7"/>
        </w:numPr>
        <w:ind w:hanging="589"/>
        <w:jc w:val="both"/>
        <w:rPr>
          <w:rFonts w:ascii="Gilroy-Medium" w:eastAsiaTheme="minorHAnsi" w:hAnsi="Gilroy-Medium"/>
          <w:lang w:val="en-CA"/>
        </w:rPr>
      </w:pPr>
      <w:r w:rsidRPr="00115EC6">
        <w:rPr>
          <w:rFonts w:ascii="Gilroy-Medium" w:hAnsi="Gilroy-Medium"/>
          <w:lang w:val="en-CA"/>
        </w:rPr>
        <w:t>A reasonable explanation for why the policy exceptions are required</w:t>
      </w:r>
    </w:p>
    <w:p w14:paraId="5B585B2D" w14:textId="77777777" w:rsidR="0036658E" w:rsidRPr="00115EC6" w:rsidRDefault="0036658E" w:rsidP="00FC2B2C">
      <w:pPr>
        <w:pStyle w:val="ListParagraphNumbering"/>
        <w:numPr>
          <w:ilvl w:val="2"/>
          <w:numId w:val="7"/>
        </w:numPr>
        <w:ind w:hanging="589"/>
        <w:jc w:val="both"/>
        <w:rPr>
          <w:rFonts w:ascii="Gilroy-Medium" w:eastAsiaTheme="minorHAnsi" w:hAnsi="Gilroy-Medium"/>
          <w:lang w:val="en-CA"/>
        </w:rPr>
      </w:pPr>
      <w:r w:rsidRPr="00115EC6">
        <w:rPr>
          <w:rFonts w:ascii="Gilroy-Medium" w:hAnsi="Gilroy-Medium"/>
          <w:lang w:val="en-CA"/>
        </w:rPr>
        <w:t xml:space="preserve">Any risk created by the exceptions to this policy </w:t>
      </w:r>
    </w:p>
    <w:p w14:paraId="67AEBBCA" w14:textId="77777777" w:rsidR="0036658E" w:rsidRPr="00115EC6" w:rsidRDefault="0036658E" w:rsidP="00FC2B2C">
      <w:pPr>
        <w:pStyle w:val="ListParagraphNumbering"/>
        <w:numPr>
          <w:ilvl w:val="2"/>
          <w:numId w:val="7"/>
        </w:numPr>
        <w:ind w:hanging="589"/>
        <w:jc w:val="both"/>
        <w:rPr>
          <w:rFonts w:ascii="Gilroy-Medium" w:eastAsiaTheme="minorHAnsi" w:hAnsi="Gilroy-Medium"/>
          <w:lang w:val="en-CA"/>
        </w:rPr>
      </w:pPr>
      <w:r w:rsidRPr="00115EC6">
        <w:rPr>
          <w:rFonts w:ascii="Gilroy-Medium" w:hAnsi="Gilroy-Medium"/>
          <w:lang w:val="en-CA"/>
        </w:rPr>
        <w:t>Evidence of approval by the Vice-President, Corporate Services</w:t>
      </w:r>
    </w:p>
    <w:p w14:paraId="35672A8C" w14:textId="77777777" w:rsidR="0036658E" w:rsidRPr="00115EC6" w:rsidRDefault="0036658E" w:rsidP="00FC2B2C">
      <w:pPr>
        <w:pStyle w:val="PlainText"/>
        <w:numPr>
          <w:ilvl w:val="0"/>
          <w:numId w:val="7"/>
        </w:numPr>
        <w:spacing w:before="240" w:after="120"/>
        <w:jc w:val="both"/>
        <w:rPr>
          <w:rFonts w:ascii="Gilroy-Medium" w:eastAsia="MS Mincho" w:hAnsi="Gilroy-Medium" w:cs="Arial"/>
          <w:b/>
        </w:rPr>
      </w:pPr>
      <w:r w:rsidRPr="00115EC6">
        <w:rPr>
          <w:rFonts w:ascii="Gilroy-Medium" w:eastAsia="MS Mincho" w:hAnsi="Gilroy-Medium" w:cs="Arial"/>
          <w:b/>
        </w:rPr>
        <w:t>Inquiries</w:t>
      </w:r>
    </w:p>
    <w:p w14:paraId="51D8017E" w14:textId="77777777" w:rsidR="0036658E" w:rsidRPr="00115EC6" w:rsidRDefault="0036658E" w:rsidP="00FC2B2C">
      <w:pPr>
        <w:pStyle w:val="ListParagraphNumbering"/>
        <w:ind w:left="900" w:hanging="540"/>
        <w:jc w:val="both"/>
        <w:rPr>
          <w:rFonts w:ascii="Gilroy-Medium" w:hAnsi="Gilroy-Medium"/>
        </w:rPr>
      </w:pPr>
      <w:r w:rsidRPr="00115EC6">
        <w:rPr>
          <w:rFonts w:ascii="Gilroy-Medium" w:eastAsiaTheme="minorHAnsi" w:hAnsi="Gilroy-Medium"/>
          <w:lang w:val="en-CA"/>
        </w:rPr>
        <w:t>Inquiries regarding this policy can be directed to the Information and Privacy Coordinator</w:t>
      </w:r>
      <w:r w:rsidRPr="00115EC6">
        <w:rPr>
          <w:rFonts w:ascii="Gilroy-Medium" w:hAnsi="Gilroy-Medium"/>
        </w:rPr>
        <w:t xml:space="preserve">. </w:t>
      </w:r>
    </w:p>
    <w:p w14:paraId="66BE274C" w14:textId="77777777" w:rsidR="0036658E" w:rsidRPr="00115EC6" w:rsidRDefault="0036658E" w:rsidP="00FC2B2C">
      <w:pPr>
        <w:pStyle w:val="PlainText"/>
        <w:numPr>
          <w:ilvl w:val="0"/>
          <w:numId w:val="7"/>
        </w:numPr>
        <w:spacing w:before="240" w:after="120"/>
        <w:jc w:val="both"/>
        <w:rPr>
          <w:rFonts w:ascii="Gilroy-Medium" w:eastAsia="MS Mincho" w:hAnsi="Gilroy-Medium" w:cs="Arial"/>
          <w:b/>
        </w:rPr>
      </w:pPr>
      <w:r w:rsidRPr="00115EC6">
        <w:rPr>
          <w:rFonts w:ascii="Gilroy-Medium" w:eastAsia="MS Mincho" w:hAnsi="Gilroy-Medium" w:cs="Arial"/>
          <w:b/>
        </w:rPr>
        <w:t>Amendments (Revision History)</w:t>
      </w:r>
    </w:p>
    <w:p w14:paraId="27F6775C" w14:textId="12D57AFB" w:rsidR="0036658E" w:rsidRPr="00115EC6" w:rsidRDefault="0036658E" w:rsidP="00FC2B2C">
      <w:pPr>
        <w:pStyle w:val="ListParagraphNumbering"/>
        <w:ind w:left="900" w:hanging="540"/>
        <w:jc w:val="both"/>
        <w:rPr>
          <w:rFonts w:ascii="Gilroy-Medium" w:hAnsi="Gilroy-Medium"/>
        </w:rPr>
      </w:pPr>
      <w:r w:rsidRPr="00115EC6">
        <w:rPr>
          <w:rFonts w:ascii="Gilroy-Medium" w:hAnsi="Gilroy-Medium"/>
        </w:rPr>
        <w:t xml:space="preserve">Amendments to this policy will be published from time to time and circulated to the </w:t>
      </w:r>
      <w:r w:rsidR="002C2279" w:rsidRPr="00115EC6">
        <w:rPr>
          <w:rFonts w:ascii="Gilroy-Medium" w:hAnsi="Gilroy-Medium"/>
        </w:rPr>
        <w:t>Institution community</w:t>
      </w:r>
      <w:r w:rsidRPr="00115EC6">
        <w:rPr>
          <w:rFonts w:ascii="Gilroy-Medium" w:hAnsi="Gilroy-Medium"/>
        </w:rPr>
        <w:t xml:space="preserve">. </w:t>
      </w:r>
    </w:p>
    <w:p w14:paraId="354DDBB7" w14:textId="54A14A64" w:rsidR="002C2279" w:rsidRPr="00115EC6" w:rsidRDefault="002C2279" w:rsidP="00FC2B2C">
      <w:pPr>
        <w:pStyle w:val="ListParagraphNumbering"/>
        <w:ind w:left="900" w:hanging="540"/>
        <w:jc w:val="both"/>
        <w:rPr>
          <w:rFonts w:ascii="Gilroy-Medium" w:hAnsi="Gilroy-Medium"/>
        </w:rPr>
      </w:pPr>
      <w:r w:rsidRPr="00115EC6">
        <w:rPr>
          <w:rFonts w:ascii="Gilroy-Medium" w:hAnsi="Gilroy-Medium"/>
        </w:rPr>
        <w:t>Policy updated September 1, 202</w:t>
      </w:r>
      <w:r w:rsidR="007948B2">
        <w:rPr>
          <w:rFonts w:ascii="Gilroy-Medium" w:hAnsi="Gilroy-Medium"/>
        </w:rPr>
        <w:t>3</w:t>
      </w:r>
    </w:p>
    <w:p w14:paraId="06F2C66A" w14:textId="77777777" w:rsidR="0036658E" w:rsidRPr="00115EC6" w:rsidRDefault="0036658E" w:rsidP="00FC2B2C">
      <w:pPr>
        <w:spacing w:after="200" w:line="276" w:lineRule="auto"/>
        <w:jc w:val="both"/>
        <w:rPr>
          <w:rFonts w:ascii="Gilroy-Medium" w:eastAsia="MS Mincho" w:hAnsi="Gilroy-Medium"/>
          <w:b/>
          <w:sz w:val="20"/>
          <w:szCs w:val="20"/>
          <w:lang w:val="en-US"/>
        </w:rPr>
      </w:pPr>
    </w:p>
    <w:p w14:paraId="2AB27633" w14:textId="77777777" w:rsidR="000A7887" w:rsidRDefault="000A7887" w:rsidP="00FC2B2C">
      <w:pPr>
        <w:pStyle w:val="Heading1"/>
        <w:numPr>
          <w:ilvl w:val="0"/>
          <w:numId w:val="0"/>
        </w:numPr>
        <w:tabs>
          <w:tab w:val="left" w:pos="459"/>
        </w:tabs>
        <w:spacing w:before="93"/>
        <w:ind w:left="458"/>
        <w:jc w:val="both"/>
        <w:rPr>
          <w:rFonts w:ascii="Gilroy-Medium" w:hAnsi="Gilroy-Medium"/>
        </w:rPr>
      </w:pPr>
    </w:p>
    <w:p w14:paraId="1B6D4404" w14:textId="77777777" w:rsidR="00692FB8" w:rsidRPr="00115EC6" w:rsidRDefault="00692FB8" w:rsidP="00FC2B2C">
      <w:pPr>
        <w:pStyle w:val="Heading1"/>
        <w:numPr>
          <w:ilvl w:val="0"/>
          <w:numId w:val="0"/>
        </w:numPr>
        <w:tabs>
          <w:tab w:val="left" w:pos="459"/>
        </w:tabs>
        <w:spacing w:before="93"/>
        <w:ind w:left="458"/>
        <w:jc w:val="both"/>
        <w:rPr>
          <w:rFonts w:ascii="Gilroy-Medium" w:hAnsi="Gilroy-Medium"/>
        </w:rPr>
      </w:pPr>
    </w:p>
    <w:sectPr w:rsidR="00692FB8" w:rsidRPr="00115EC6" w:rsidSect="00BB6C1C">
      <w:headerReference w:type="default" r:id="rId7"/>
      <w:footerReference w:type="default" r:id="rId8"/>
      <w:pgSz w:w="12240" w:h="15840"/>
      <w:pgMar w:top="1260" w:right="1140" w:bottom="1180" w:left="1320" w:header="448" w:footer="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49A6" w14:textId="77777777" w:rsidR="0036658E" w:rsidRDefault="0036658E" w:rsidP="0036658E">
      <w:r>
        <w:separator/>
      </w:r>
    </w:p>
  </w:endnote>
  <w:endnote w:type="continuationSeparator" w:id="0">
    <w:p w14:paraId="35E0A072" w14:textId="77777777" w:rsidR="0036658E" w:rsidRDefault="0036658E" w:rsidP="0036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roy-Medium">
    <w:panose1 w:val="00000600000000000000"/>
    <w:charset w:val="00"/>
    <w:family w:val="auto"/>
    <w:pitch w:val="variable"/>
    <w:sig w:usb0="00000207" w:usb1="00000000" w:usb2="00000000" w:usb3="00000000" w:csb0="00000097"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443374"/>
      <w:docPartObj>
        <w:docPartGallery w:val="Page Numbers (Bottom of Page)"/>
        <w:docPartUnique/>
      </w:docPartObj>
    </w:sdtPr>
    <w:sdtEndPr/>
    <w:sdtContent>
      <w:sdt>
        <w:sdtPr>
          <w:id w:val="147801114"/>
          <w:docPartObj>
            <w:docPartGallery w:val="Page Numbers (Top of Page)"/>
            <w:docPartUnique/>
          </w:docPartObj>
        </w:sdtPr>
        <w:sdtEndPr/>
        <w:sdtContent>
          <w:p w14:paraId="57EEE7AA" w14:textId="77777777" w:rsidR="00BB6C1C" w:rsidRDefault="00FC2B2C" w:rsidP="00BB6C1C">
            <w:pPr>
              <w:pStyle w:val="Footer"/>
              <w:ind w:left="720"/>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Pr>
                <w:noProof/>
              </w:rPr>
              <w:drawing>
                <wp:inline distT="0" distB="0" distL="0" distR="0" wp14:anchorId="103C122B" wp14:editId="6B91B9E2">
                  <wp:extent cx="390525" cy="313184"/>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13184"/>
                          </a:xfrm>
                          <a:prstGeom prst="rect">
                            <a:avLst/>
                          </a:prstGeom>
                          <a:noFill/>
                          <a:ln>
                            <a:noFill/>
                          </a:ln>
                        </pic:spPr>
                      </pic:pic>
                    </a:graphicData>
                  </a:graphic>
                </wp:inline>
              </w:drawing>
            </w:r>
            <w:r>
              <w:rPr>
                <w:b/>
                <w:bCs/>
                <w:sz w:val="24"/>
                <w:szCs w:val="24"/>
              </w:rPr>
              <w:t xml:space="preserve">                                                         </w:t>
            </w:r>
          </w:p>
          <w:p w14:paraId="033A4964" w14:textId="77777777" w:rsidR="00D27DF2" w:rsidRDefault="00FC2B2C" w:rsidP="00BB6C1C">
            <w:pPr>
              <w:pStyle w:val="Footer"/>
              <w:ind w:left="720"/>
              <w:jc w:val="right"/>
            </w:pPr>
            <w:r>
              <w:rPr>
                <w:b/>
                <w:bCs/>
                <w:sz w:val="24"/>
                <w:szCs w:val="24"/>
              </w:rPr>
              <w:t xml:space="preserve"> </w:t>
            </w:r>
          </w:p>
        </w:sdtContent>
      </w:sdt>
    </w:sdtContent>
  </w:sdt>
  <w:p w14:paraId="6E1E32A1" w14:textId="77777777" w:rsidR="00723101" w:rsidRDefault="007948B2" w:rsidP="00D27DF2">
    <w:pPr>
      <w:pStyle w:val="Footer"/>
      <w:ind w:firstLine="720"/>
      <w:jc w:val="center"/>
    </w:pPr>
  </w:p>
  <w:p w14:paraId="17893843" w14:textId="77777777" w:rsidR="006D6375" w:rsidRDefault="00794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E4C8" w14:textId="77777777" w:rsidR="0036658E" w:rsidRDefault="0036658E" w:rsidP="0036658E">
      <w:r>
        <w:separator/>
      </w:r>
    </w:p>
  </w:footnote>
  <w:footnote w:type="continuationSeparator" w:id="0">
    <w:p w14:paraId="3AAB42B6" w14:textId="77777777" w:rsidR="0036658E" w:rsidRDefault="0036658E" w:rsidP="00366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0CA1" w14:textId="77777777" w:rsidR="00723101" w:rsidRDefault="00FC2B2C" w:rsidP="00723101">
    <w:pPr>
      <w:pStyle w:val="BodyText"/>
      <w:spacing w:line="14" w:lineRule="auto"/>
    </w:pPr>
    <w:r w:rsidRPr="00427FB1">
      <w:rPr>
        <w:rFonts w:ascii="Arial Bold" w:hAnsi="Arial Bold"/>
        <w:caps/>
        <w:smallCaps/>
        <w:noProof/>
        <w:sz w:val="32"/>
        <w:szCs w:val="32"/>
        <w:lang w:eastAsia="en-CA"/>
      </w:rPr>
      <w:drawing>
        <wp:anchor distT="0" distB="0" distL="114300" distR="114300" simplePos="0" relativeHeight="251660288" behindDoc="1" locked="0" layoutInCell="1" allowOverlap="1" wp14:anchorId="7D34E39B" wp14:editId="710CB9AD">
          <wp:simplePos x="0" y="0"/>
          <wp:positionH relativeFrom="margin">
            <wp:posOffset>4349115</wp:posOffset>
          </wp:positionH>
          <wp:positionV relativeFrom="paragraph">
            <wp:posOffset>-70485</wp:posOffset>
          </wp:positionV>
          <wp:extent cx="1696085" cy="281940"/>
          <wp:effectExtent l="0" t="0" r="0" b="3810"/>
          <wp:wrapNone/>
          <wp:docPr id="135" name="irc_m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96085" cy="281940"/>
                  </a:xfrm>
                  <a:prstGeom prst="rect">
                    <a:avLst/>
                  </a:prstGeom>
                  <a:noFill/>
                  <a:ln w="9525">
                    <a:noFill/>
                    <a:miter lim="800000"/>
                    <a:headEnd/>
                    <a:tailEnd/>
                  </a:ln>
                </pic:spPr>
              </pic:pic>
            </a:graphicData>
          </a:graphic>
          <wp14:sizeRelV relativeFrom="margin">
            <wp14:pctHeight>0</wp14:pctHeight>
          </wp14:sizeRelV>
        </wp:anchor>
      </w:drawing>
    </w:r>
  </w:p>
  <w:p w14:paraId="74D96CA7" w14:textId="77777777" w:rsidR="00723101" w:rsidRDefault="0036658E">
    <w:pPr>
      <w:pStyle w:val="Header"/>
    </w:pPr>
    <w:r>
      <w:rPr>
        <w:b/>
        <w:smallCaps/>
        <w:sz w:val="32"/>
      </w:rPr>
      <w:t>Protection of Privacy Policy</w:t>
    </w:r>
  </w:p>
  <w:p w14:paraId="542A3FA6" w14:textId="77777777" w:rsidR="006D6375" w:rsidRDefault="007948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9C"/>
    <w:multiLevelType w:val="hybridMultilevel"/>
    <w:tmpl w:val="A872CF90"/>
    <w:lvl w:ilvl="0" w:tplc="573CF24A">
      <w:numFmt w:val="bullet"/>
      <w:lvlText w:val=""/>
      <w:lvlJc w:val="left"/>
      <w:pPr>
        <w:ind w:left="465" w:hanging="360"/>
      </w:pPr>
      <w:rPr>
        <w:rFonts w:ascii="Symbol" w:eastAsia="Symbol" w:hAnsi="Symbol" w:cs="Symbol" w:hint="default"/>
        <w:w w:val="99"/>
        <w:sz w:val="20"/>
        <w:szCs w:val="20"/>
        <w:lang w:val="en-CA" w:eastAsia="en-CA" w:bidi="en-CA"/>
      </w:rPr>
    </w:lvl>
    <w:lvl w:ilvl="1" w:tplc="ADC61F48">
      <w:numFmt w:val="bullet"/>
      <w:lvlText w:val="•"/>
      <w:lvlJc w:val="left"/>
      <w:pPr>
        <w:ind w:left="1069" w:hanging="360"/>
      </w:pPr>
      <w:rPr>
        <w:rFonts w:hint="default"/>
        <w:lang w:val="en-CA" w:eastAsia="en-CA" w:bidi="en-CA"/>
      </w:rPr>
    </w:lvl>
    <w:lvl w:ilvl="2" w:tplc="8466BA28">
      <w:numFmt w:val="bullet"/>
      <w:lvlText w:val="•"/>
      <w:lvlJc w:val="left"/>
      <w:pPr>
        <w:ind w:left="1679" w:hanging="360"/>
      </w:pPr>
      <w:rPr>
        <w:rFonts w:hint="default"/>
        <w:lang w:val="en-CA" w:eastAsia="en-CA" w:bidi="en-CA"/>
      </w:rPr>
    </w:lvl>
    <w:lvl w:ilvl="3" w:tplc="168C52FE">
      <w:numFmt w:val="bullet"/>
      <w:lvlText w:val="•"/>
      <w:lvlJc w:val="left"/>
      <w:pPr>
        <w:ind w:left="2288" w:hanging="360"/>
      </w:pPr>
      <w:rPr>
        <w:rFonts w:hint="default"/>
        <w:lang w:val="en-CA" w:eastAsia="en-CA" w:bidi="en-CA"/>
      </w:rPr>
    </w:lvl>
    <w:lvl w:ilvl="4" w:tplc="47B413A4">
      <w:numFmt w:val="bullet"/>
      <w:lvlText w:val="•"/>
      <w:lvlJc w:val="left"/>
      <w:pPr>
        <w:ind w:left="2898" w:hanging="360"/>
      </w:pPr>
      <w:rPr>
        <w:rFonts w:hint="default"/>
        <w:lang w:val="en-CA" w:eastAsia="en-CA" w:bidi="en-CA"/>
      </w:rPr>
    </w:lvl>
    <w:lvl w:ilvl="5" w:tplc="D1261A38">
      <w:numFmt w:val="bullet"/>
      <w:lvlText w:val="•"/>
      <w:lvlJc w:val="left"/>
      <w:pPr>
        <w:ind w:left="3508" w:hanging="360"/>
      </w:pPr>
      <w:rPr>
        <w:rFonts w:hint="default"/>
        <w:lang w:val="en-CA" w:eastAsia="en-CA" w:bidi="en-CA"/>
      </w:rPr>
    </w:lvl>
    <w:lvl w:ilvl="6" w:tplc="2E5CE134">
      <w:numFmt w:val="bullet"/>
      <w:lvlText w:val="•"/>
      <w:lvlJc w:val="left"/>
      <w:pPr>
        <w:ind w:left="4117" w:hanging="360"/>
      </w:pPr>
      <w:rPr>
        <w:rFonts w:hint="default"/>
        <w:lang w:val="en-CA" w:eastAsia="en-CA" w:bidi="en-CA"/>
      </w:rPr>
    </w:lvl>
    <w:lvl w:ilvl="7" w:tplc="2DF696FC">
      <w:numFmt w:val="bullet"/>
      <w:lvlText w:val="•"/>
      <w:lvlJc w:val="left"/>
      <w:pPr>
        <w:ind w:left="4727" w:hanging="360"/>
      </w:pPr>
      <w:rPr>
        <w:rFonts w:hint="default"/>
        <w:lang w:val="en-CA" w:eastAsia="en-CA" w:bidi="en-CA"/>
      </w:rPr>
    </w:lvl>
    <w:lvl w:ilvl="8" w:tplc="B6545120">
      <w:numFmt w:val="bullet"/>
      <w:lvlText w:val="•"/>
      <w:lvlJc w:val="left"/>
      <w:pPr>
        <w:ind w:left="5336" w:hanging="360"/>
      </w:pPr>
      <w:rPr>
        <w:rFonts w:hint="default"/>
        <w:lang w:val="en-CA" w:eastAsia="en-CA" w:bidi="en-CA"/>
      </w:rPr>
    </w:lvl>
  </w:abstractNum>
  <w:abstractNum w:abstractNumId="1" w15:restartNumberingAfterBreak="0">
    <w:nsid w:val="0A731318"/>
    <w:multiLevelType w:val="hybridMultilevel"/>
    <w:tmpl w:val="7BA4C10A"/>
    <w:lvl w:ilvl="0" w:tplc="D8D6426A">
      <w:start w:val="1"/>
      <w:numFmt w:val="bullet"/>
      <w:lvlText w:val=""/>
      <w:lvlJc w:val="left"/>
      <w:pPr>
        <w:ind w:left="360" w:hanging="360"/>
      </w:pPr>
      <w:rPr>
        <w:rFonts w:ascii="Symbol" w:hAnsi="Symbol" w:hint="default"/>
      </w:rPr>
    </w:lvl>
    <w:lvl w:ilvl="1" w:tplc="657257CC">
      <w:start w:val="1"/>
      <w:numFmt w:val="bullet"/>
      <w:lvlText w:val="o"/>
      <w:lvlJc w:val="left"/>
      <w:pPr>
        <w:ind w:left="1080" w:hanging="360"/>
      </w:pPr>
      <w:rPr>
        <w:rFonts w:ascii="Courier New" w:hAnsi="Courier New" w:cs="Courier New" w:hint="default"/>
      </w:rPr>
    </w:lvl>
    <w:lvl w:ilvl="2" w:tplc="C952CAD0" w:tentative="1">
      <w:start w:val="1"/>
      <w:numFmt w:val="bullet"/>
      <w:lvlText w:val=""/>
      <w:lvlJc w:val="left"/>
      <w:pPr>
        <w:ind w:left="1800" w:hanging="360"/>
      </w:pPr>
      <w:rPr>
        <w:rFonts w:ascii="Wingdings" w:hAnsi="Wingdings" w:hint="default"/>
      </w:rPr>
    </w:lvl>
    <w:lvl w:ilvl="3" w:tplc="391EC51A" w:tentative="1">
      <w:start w:val="1"/>
      <w:numFmt w:val="bullet"/>
      <w:lvlText w:val=""/>
      <w:lvlJc w:val="left"/>
      <w:pPr>
        <w:ind w:left="2520" w:hanging="360"/>
      </w:pPr>
      <w:rPr>
        <w:rFonts w:ascii="Symbol" w:hAnsi="Symbol" w:hint="default"/>
      </w:rPr>
    </w:lvl>
    <w:lvl w:ilvl="4" w:tplc="F5685478" w:tentative="1">
      <w:start w:val="1"/>
      <w:numFmt w:val="bullet"/>
      <w:lvlText w:val="o"/>
      <w:lvlJc w:val="left"/>
      <w:pPr>
        <w:ind w:left="3240" w:hanging="360"/>
      </w:pPr>
      <w:rPr>
        <w:rFonts w:ascii="Courier New" w:hAnsi="Courier New" w:cs="Courier New" w:hint="default"/>
      </w:rPr>
    </w:lvl>
    <w:lvl w:ilvl="5" w:tplc="E9E45F4C" w:tentative="1">
      <w:start w:val="1"/>
      <w:numFmt w:val="bullet"/>
      <w:lvlText w:val=""/>
      <w:lvlJc w:val="left"/>
      <w:pPr>
        <w:ind w:left="3960" w:hanging="360"/>
      </w:pPr>
      <w:rPr>
        <w:rFonts w:ascii="Wingdings" w:hAnsi="Wingdings" w:hint="default"/>
      </w:rPr>
    </w:lvl>
    <w:lvl w:ilvl="6" w:tplc="548AA74C" w:tentative="1">
      <w:start w:val="1"/>
      <w:numFmt w:val="bullet"/>
      <w:lvlText w:val=""/>
      <w:lvlJc w:val="left"/>
      <w:pPr>
        <w:ind w:left="4680" w:hanging="360"/>
      </w:pPr>
      <w:rPr>
        <w:rFonts w:ascii="Symbol" w:hAnsi="Symbol" w:hint="default"/>
      </w:rPr>
    </w:lvl>
    <w:lvl w:ilvl="7" w:tplc="A3322EA2" w:tentative="1">
      <w:start w:val="1"/>
      <w:numFmt w:val="bullet"/>
      <w:lvlText w:val="o"/>
      <w:lvlJc w:val="left"/>
      <w:pPr>
        <w:ind w:left="5400" w:hanging="360"/>
      </w:pPr>
      <w:rPr>
        <w:rFonts w:ascii="Courier New" w:hAnsi="Courier New" w:cs="Courier New" w:hint="default"/>
      </w:rPr>
    </w:lvl>
    <w:lvl w:ilvl="8" w:tplc="65968EF2" w:tentative="1">
      <w:start w:val="1"/>
      <w:numFmt w:val="bullet"/>
      <w:lvlText w:val=""/>
      <w:lvlJc w:val="left"/>
      <w:pPr>
        <w:ind w:left="6120" w:hanging="360"/>
      </w:pPr>
      <w:rPr>
        <w:rFonts w:ascii="Wingdings" w:hAnsi="Wingdings" w:hint="default"/>
      </w:rPr>
    </w:lvl>
  </w:abstractNum>
  <w:abstractNum w:abstractNumId="2" w15:restartNumberingAfterBreak="0">
    <w:nsid w:val="3BD470AA"/>
    <w:multiLevelType w:val="multilevel"/>
    <w:tmpl w:val="C88A0226"/>
    <w:lvl w:ilvl="0">
      <w:start w:val="1"/>
      <w:numFmt w:val="decimal"/>
      <w:lvlText w:val="%1."/>
      <w:lvlJc w:val="left"/>
      <w:pPr>
        <w:ind w:left="360" w:hanging="360"/>
      </w:pPr>
      <w:rPr>
        <w:rFonts w:hint="default"/>
      </w:rPr>
    </w:lvl>
    <w:lvl w:ilvl="1">
      <w:start w:val="1"/>
      <w:numFmt w:val="decimal"/>
      <w:pStyle w:val="ListParagraphNumbering"/>
      <w:isLgl/>
      <w:lvlText w:val="%1.%2"/>
      <w:lvlJc w:val="left"/>
      <w:pPr>
        <w:ind w:left="794" w:hanging="397"/>
      </w:pPr>
      <w:rPr>
        <w:rFonts w:hint="default"/>
        <w:b w:val="0"/>
      </w:rPr>
    </w:lvl>
    <w:lvl w:ilvl="2">
      <w:start w:val="1"/>
      <w:numFmt w:val="decima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3E741AD5"/>
    <w:multiLevelType w:val="hybridMultilevel"/>
    <w:tmpl w:val="409CF13E"/>
    <w:lvl w:ilvl="0" w:tplc="A1D88CCE">
      <w:numFmt w:val="bullet"/>
      <w:lvlText w:val=""/>
      <w:lvlJc w:val="left"/>
      <w:pPr>
        <w:ind w:left="1324" w:hanging="504"/>
      </w:pPr>
      <w:rPr>
        <w:rFonts w:ascii="Symbol" w:eastAsia="Symbol" w:hAnsi="Symbol" w:cs="Symbol" w:hint="default"/>
        <w:w w:val="99"/>
        <w:sz w:val="20"/>
        <w:szCs w:val="20"/>
        <w:lang w:val="en-CA" w:eastAsia="en-CA" w:bidi="en-CA"/>
      </w:rPr>
    </w:lvl>
    <w:lvl w:ilvl="1" w:tplc="34AE65FC">
      <w:numFmt w:val="bullet"/>
      <w:lvlText w:val=""/>
      <w:lvlJc w:val="left"/>
      <w:pPr>
        <w:ind w:left="2097" w:hanging="721"/>
      </w:pPr>
      <w:rPr>
        <w:rFonts w:ascii="Symbol" w:eastAsia="Symbol" w:hAnsi="Symbol" w:cs="Symbol" w:hint="default"/>
        <w:w w:val="99"/>
        <w:sz w:val="20"/>
        <w:szCs w:val="20"/>
        <w:lang w:val="en-CA" w:eastAsia="en-CA" w:bidi="en-CA"/>
      </w:rPr>
    </w:lvl>
    <w:lvl w:ilvl="2" w:tplc="12CC5DB6">
      <w:numFmt w:val="bullet"/>
      <w:lvlText w:val="•"/>
      <w:lvlJc w:val="left"/>
      <w:pPr>
        <w:ind w:left="2931" w:hanging="721"/>
      </w:pPr>
      <w:rPr>
        <w:rFonts w:hint="default"/>
        <w:lang w:val="en-CA" w:eastAsia="en-CA" w:bidi="en-CA"/>
      </w:rPr>
    </w:lvl>
    <w:lvl w:ilvl="3" w:tplc="90D25E0E">
      <w:numFmt w:val="bullet"/>
      <w:lvlText w:val="•"/>
      <w:lvlJc w:val="left"/>
      <w:pPr>
        <w:ind w:left="3762" w:hanging="721"/>
      </w:pPr>
      <w:rPr>
        <w:rFonts w:hint="default"/>
        <w:lang w:val="en-CA" w:eastAsia="en-CA" w:bidi="en-CA"/>
      </w:rPr>
    </w:lvl>
    <w:lvl w:ilvl="4" w:tplc="A572ACDE">
      <w:numFmt w:val="bullet"/>
      <w:lvlText w:val="•"/>
      <w:lvlJc w:val="left"/>
      <w:pPr>
        <w:ind w:left="4593" w:hanging="721"/>
      </w:pPr>
      <w:rPr>
        <w:rFonts w:hint="default"/>
        <w:lang w:val="en-CA" w:eastAsia="en-CA" w:bidi="en-CA"/>
      </w:rPr>
    </w:lvl>
    <w:lvl w:ilvl="5" w:tplc="427E54A4">
      <w:numFmt w:val="bullet"/>
      <w:lvlText w:val="•"/>
      <w:lvlJc w:val="left"/>
      <w:pPr>
        <w:ind w:left="5424" w:hanging="721"/>
      </w:pPr>
      <w:rPr>
        <w:rFonts w:hint="default"/>
        <w:lang w:val="en-CA" w:eastAsia="en-CA" w:bidi="en-CA"/>
      </w:rPr>
    </w:lvl>
    <w:lvl w:ilvl="6" w:tplc="843ED6C6">
      <w:numFmt w:val="bullet"/>
      <w:lvlText w:val="•"/>
      <w:lvlJc w:val="left"/>
      <w:pPr>
        <w:ind w:left="6255" w:hanging="721"/>
      </w:pPr>
      <w:rPr>
        <w:rFonts w:hint="default"/>
        <w:lang w:val="en-CA" w:eastAsia="en-CA" w:bidi="en-CA"/>
      </w:rPr>
    </w:lvl>
    <w:lvl w:ilvl="7" w:tplc="E744B7EC">
      <w:numFmt w:val="bullet"/>
      <w:lvlText w:val="•"/>
      <w:lvlJc w:val="left"/>
      <w:pPr>
        <w:ind w:left="7086" w:hanging="721"/>
      </w:pPr>
      <w:rPr>
        <w:rFonts w:hint="default"/>
        <w:lang w:val="en-CA" w:eastAsia="en-CA" w:bidi="en-CA"/>
      </w:rPr>
    </w:lvl>
    <w:lvl w:ilvl="8" w:tplc="73C85DE6">
      <w:numFmt w:val="bullet"/>
      <w:lvlText w:val="•"/>
      <w:lvlJc w:val="left"/>
      <w:pPr>
        <w:ind w:left="7917" w:hanging="721"/>
      </w:pPr>
      <w:rPr>
        <w:rFonts w:hint="default"/>
        <w:lang w:val="en-CA" w:eastAsia="en-CA" w:bidi="en-CA"/>
      </w:rPr>
    </w:lvl>
  </w:abstractNum>
  <w:abstractNum w:abstractNumId="4" w15:restartNumberingAfterBreak="0">
    <w:nsid w:val="3F846C6D"/>
    <w:multiLevelType w:val="hybridMultilevel"/>
    <w:tmpl w:val="A46C4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220140"/>
    <w:multiLevelType w:val="hybridMultilevel"/>
    <w:tmpl w:val="CC2417AE"/>
    <w:lvl w:ilvl="0" w:tplc="0409000F">
      <w:start w:val="1"/>
      <w:numFmt w:val="decimal"/>
      <w:lvlText w:val="%1."/>
      <w:lvlJc w:val="left"/>
      <w:pPr>
        <w:ind w:left="360" w:hanging="360"/>
      </w:pPr>
    </w:lvl>
    <w:lvl w:ilvl="1" w:tplc="C976723E">
      <w:start w:val="1"/>
      <w:numFmt w:val="decimal"/>
      <w:lvlText w:val="2.%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A8444A"/>
    <w:multiLevelType w:val="hybridMultilevel"/>
    <w:tmpl w:val="E7E0FA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5963192"/>
    <w:multiLevelType w:val="hybridMultilevel"/>
    <w:tmpl w:val="BDA4E55A"/>
    <w:lvl w:ilvl="0" w:tplc="6F827276">
      <w:numFmt w:val="bullet"/>
      <w:lvlText w:val=""/>
      <w:lvlJc w:val="left"/>
      <w:pPr>
        <w:ind w:left="465" w:hanging="360"/>
      </w:pPr>
      <w:rPr>
        <w:rFonts w:ascii="Symbol" w:eastAsia="Symbol" w:hAnsi="Symbol" w:cs="Symbol" w:hint="default"/>
        <w:w w:val="99"/>
        <w:sz w:val="20"/>
        <w:szCs w:val="20"/>
        <w:lang w:val="en-CA" w:eastAsia="en-CA" w:bidi="en-CA"/>
      </w:rPr>
    </w:lvl>
    <w:lvl w:ilvl="1" w:tplc="BB3C9B70">
      <w:numFmt w:val="bullet"/>
      <w:lvlText w:val="•"/>
      <w:lvlJc w:val="left"/>
      <w:pPr>
        <w:ind w:left="1069" w:hanging="360"/>
      </w:pPr>
      <w:rPr>
        <w:rFonts w:hint="default"/>
        <w:lang w:val="en-CA" w:eastAsia="en-CA" w:bidi="en-CA"/>
      </w:rPr>
    </w:lvl>
    <w:lvl w:ilvl="2" w:tplc="BBBA652C">
      <w:numFmt w:val="bullet"/>
      <w:lvlText w:val="•"/>
      <w:lvlJc w:val="left"/>
      <w:pPr>
        <w:ind w:left="1679" w:hanging="360"/>
      </w:pPr>
      <w:rPr>
        <w:rFonts w:hint="default"/>
        <w:lang w:val="en-CA" w:eastAsia="en-CA" w:bidi="en-CA"/>
      </w:rPr>
    </w:lvl>
    <w:lvl w:ilvl="3" w:tplc="E77C046A">
      <w:numFmt w:val="bullet"/>
      <w:lvlText w:val="•"/>
      <w:lvlJc w:val="left"/>
      <w:pPr>
        <w:ind w:left="2288" w:hanging="360"/>
      </w:pPr>
      <w:rPr>
        <w:rFonts w:hint="default"/>
        <w:lang w:val="en-CA" w:eastAsia="en-CA" w:bidi="en-CA"/>
      </w:rPr>
    </w:lvl>
    <w:lvl w:ilvl="4" w:tplc="9FECAFA2">
      <w:numFmt w:val="bullet"/>
      <w:lvlText w:val="•"/>
      <w:lvlJc w:val="left"/>
      <w:pPr>
        <w:ind w:left="2898" w:hanging="360"/>
      </w:pPr>
      <w:rPr>
        <w:rFonts w:hint="default"/>
        <w:lang w:val="en-CA" w:eastAsia="en-CA" w:bidi="en-CA"/>
      </w:rPr>
    </w:lvl>
    <w:lvl w:ilvl="5" w:tplc="7F901F9A">
      <w:numFmt w:val="bullet"/>
      <w:lvlText w:val="•"/>
      <w:lvlJc w:val="left"/>
      <w:pPr>
        <w:ind w:left="3508" w:hanging="360"/>
      </w:pPr>
      <w:rPr>
        <w:rFonts w:hint="default"/>
        <w:lang w:val="en-CA" w:eastAsia="en-CA" w:bidi="en-CA"/>
      </w:rPr>
    </w:lvl>
    <w:lvl w:ilvl="6" w:tplc="C9A0A4EE">
      <w:numFmt w:val="bullet"/>
      <w:lvlText w:val="•"/>
      <w:lvlJc w:val="left"/>
      <w:pPr>
        <w:ind w:left="4117" w:hanging="360"/>
      </w:pPr>
      <w:rPr>
        <w:rFonts w:hint="default"/>
        <w:lang w:val="en-CA" w:eastAsia="en-CA" w:bidi="en-CA"/>
      </w:rPr>
    </w:lvl>
    <w:lvl w:ilvl="7" w:tplc="DCAEBAC2">
      <w:numFmt w:val="bullet"/>
      <w:lvlText w:val="•"/>
      <w:lvlJc w:val="left"/>
      <w:pPr>
        <w:ind w:left="4727" w:hanging="360"/>
      </w:pPr>
      <w:rPr>
        <w:rFonts w:hint="default"/>
        <w:lang w:val="en-CA" w:eastAsia="en-CA" w:bidi="en-CA"/>
      </w:rPr>
    </w:lvl>
    <w:lvl w:ilvl="8" w:tplc="58E0E95C">
      <w:numFmt w:val="bullet"/>
      <w:lvlText w:val="•"/>
      <w:lvlJc w:val="left"/>
      <w:pPr>
        <w:ind w:left="5336" w:hanging="360"/>
      </w:pPr>
      <w:rPr>
        <w:rFonts w:hint="default"/>
        <w:lang w:val="en-CA" w:eastAsia="en-CA" w:bidi="en-CA"/>
      </w:rPr>
    </w:lvl>
  </w:abstractNum>
  <w:abstractNum w:abstractNumId="8" w15:restartNumberingAfterBreak="0">
    <w:nsid w:val="656E07B3"/>
    <w:multiLevelType w:val="hybridMultilevel"/>
    <w:tmpl w:val="F7BA4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210A23"/>
    <w:multiLevelType w:val="multilevel"/>
    <w:tmpl w:val="D0481616"/>
    <w:lvl w:ilvl="0">
      <w:start w:val="1"/>
      <w:numFmt w:val="decimal"/>
      <w:lvlText w:val="%1."/>
      <w:lvlJc w:val="left"/>
      <w:pPr>
        <w:ind w:left="458" w:hanging="358"/>
      </w:pPr>
      <w:rPr>
        <w:rFonts w:ascii="Arial" w:eastAsia="Arial" w:hAnsi="Arial" w:cs="Arial" w:hint="default"/>
        <w:b/>
        <w:bCs/>
        <w:spacing w:val="-1"/>
        <w:w w:val="99"/>
        <w:sz w:val="20"/>
        <w:szCs w:val="20"/>
        <w:lang w:val="en-CA" w:eastAsia="en-CA" w:bidi="en-CA"/>
      </w:rPr>
    </w:lvl>
    <w:lvl w:ilvl="1">
      <w:start w:val="1"/>
      <w:numFmt w:val="decimal"/>
      <w:lvlText w:val="%1.%2."/>
      <w:lvlJc w:val="left"/>
      <w:pPr>
        <w:ind w:left="894" w:hanging="358"/>
      </w:pPr>
      <w:rPr>
        <w:rFonts w:ascii="Arial" w:eastAsia="Arial" w:hAnsi="Arial" w:cs="Arial" w:hint="default"/>
        <w:spacing w:val="-1"/>
        <w:w w:val="99"/>
        <w:sz w:val="20"/>
        <w:szCs w:val="20"/>
        <w:lang w:val="en-CA" w:eastAsia="en-CA" w:bidi="en-CA"/>
      </w:rPr>
    </w:lvl>
    <w:lvl w:ilvl="2">
      <w:start w:val="1"/>
      <w:numFmt w:val="decimal"/>
      <w:lvlText w:val="%1.%2.%3."/>
      <w:lvlJc w:val="left"/>
      <w:pPr>
        <w:ind w:left="1540" w:hanging="728"/>
      </w:pPr>
      <w:rPr>
        <w:rFonts w:ascii="Arial" w:eastAsia="Arial" w:hAnsi="Arial" w:cs="Arial" w:hint="default"/>
        <w:spacing w:val="-1"/>
        <w:w w:val="99"/>
        <w:sz w:val="20"/>
        <w:szCs w:val="20"/>
        <w:lang w:val="en-CA" w:eastAsia="en-CA" w:bidi="en-CA"/>
      </w:rPr>
    </w:lvl>
    <w:lvl w:ilvl="3">
      <w:numFmt w:val="bullet"/>
      <w:lvlText w:val="•"/>
      <w:lvlJc w:val="left"/>
      <w:pPr>
        <w:ind w:left="900" w:hanging="728"/>
      </w:pPr>
      <w:rPr>
        <w:rFonts w:hint="default"/>
        <w:lang w:val="en-CA" w:eastAsia="en-CA" w:bidi="en-CA"/>
      </w:rPr>
    </w:lvl>
    <w:lvl w:ilvl="4">
      <w:numFmt w:val="bullet"/>
      <w:lvlText w:val="•"/>
      <w:lvlJc w:val="left"/>
      <w:pPr>
        <w:ind w:left="960" w:hanging="728"/>
      </w:pPr>
      <w:rPr>
        <w:rFonts w:hint="default"/>
        <w:lang w:val="en-CA" w:eastAsia="en-CA" w:bidi="en-CA"/>
      </w:rPr>
    </w:lvl>
    <w:lvl w:ilvl="5">
      <w:numFmt w:val="bullet"/>
      <w:lvlText w:val="•"/>
      <w:lvlJc w:val="left"/>
      <w:pPr>
        <w:ind w:left="980" w:hanging="728"/>
      </w:pPr>
      <w:rPr>
        <w:rFonts w:hint="default"/>
        <w:lang w:val="en-CA" w:eastAsia="en-CA" w:bidi="en-CA"/>
      </w:rPr>
    </w:lvl>
    <w:lvl w:ilvl="6">
      <w:numFmt w:val="bullet"/>
      <w:lvlText w:val="•"/>
      <w:lvlJc w:val="left"/>
      <w:pPr>
        <w:ind w:left="1540" w:hanging="728"/>
      </w:pPr>
      <w:rPr>
        <w:rFonts w:hint="default"/>
        <w:lang w:val="en-CA" w:eastAsia="en-CA" w:bidi="en-CA"/>
      </w:rPr>
    </w:lvl>
    <w:lvl w:ilvl="7">
      <w:numFmt w:val="bullet"/>
      <w:lvlText w:val="•"/>
      <w:lvlJc w:val="left"/>
      <w:pPr>
        <w:ind w:left="3550" w:hanging="728"/>
      </w:pPr>
      <w:rPr>
        <w:rFonts w:hint="default"/>
        <w:lang w:val="en-CA" w:eastAsia="en-CA" w:bidi="en-CA"/>
      </w:rPr>
    </w:lvl>
    <w:lvl w:ilvl="8">
      <w:numFmt w:val="bullet"/>
      <w:lvlText w:val="•"/>
      <w:lvlJc w:val="left"/>
      <w:pPr>
        <w:ind w:left="5560" w:hanging="728"/>
      </w:pPr>
      <w:rPr>
        <w:rFonts w:hint="default"/>
        <w:lang w:val="en-CA" w:eastAsia="en-CA" w:bidi="en-CA"/>
      </w:rPr>
    </w:lvl>
  </w:abstractNum>
  <w:abstractNum w:abstractNumId="10" w15:restartNumberingAfterBreak="0">
    <w:nsid w:val="74C16827"/>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A5446EE"/>
    <w:multiLevelType w:val="multilevel"/>
    <w:tmpl w:val="6810AFAA"/>
    <w:lvl w:ilvl="0">
      <w:start w:val="1"/>
      <w:numFmt w:val="decimal"/>
      <w:pStyle w:val="ITNumbered123"/>
      <w:lvlText w:val="%1."/>
      <w:lvlJc w:val="left"/>
      <w:pPr>
        <w:ind w:left="502" w:hanging="360"/>
      </w:pPr>
      <w:rPr>
        <w:rFonts w:hint="default"/>
        <w:b/>
      </w:rPr>
    </w:lvl>
    <w:lvl w:ilvl="1">
      <w:start w:val="4"/>
      <w:numFmt w:val="decimal"/>
      <w:isLgl/>
      <w:lvlText w:val="%1.%2"/>
      <w:lvlJc w:val="left"/>
      <w:pPr>
        <w:ind w:left="1003" w:hanging="435"/>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num w:numId="1" w16cid:durableId="19935509">
    <w:abstractNumId w:val="10"/>
  </w:num>
  <w:num w:numId="2" w16cid:durableId="387189202">
    <w:abstractNumId w:val="9"/>
  </w:num>
  <w:num w:numId="3" w16cid:durableId="385837662">
    <w:abstractNumId w:val="3"/>
  </w:num>
  <w:num w:numId="4" w16cid:durableId="1112285345">
    <w:abstractNumId w:val="7"/>
  </w:num>
  <w:num w:numId="5" w16cid:durableId="1143623988">
    <w:abstractNumId w:val="0"/>
  </w:num>
  <w:num w:numId="6" w16cid:durableId="961304682">
    <w:abstractNumId w:val="6"/>
  </w:num>
  <w:num w:numId="7" w16cid:durableId="841941698">
    <w:abstractNumId w:val="2"/>
  </w:num>
  <w:num w:numId="8" w16cid:durableId="1298024497">
    <w:abstractNumId w:val="11"/>
  </w:num>
  <w:num w:numId="9" w16cid:durableId="205796970">
    <w:abstractNumId w:val="5"/>
  </w:num>
  <w:num w:numId="10" w16cid:durableId="754476012">
    <w:abstractNumId w:val="8"/>
  </w:num>
  <w:num w:numId="11" w16cid:durableId="780031870">
    <w:abstractNumId w:val="4"/>
  </w:num>
  <w:num w:numId="12" w16cid:durableId="154490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8E"/>
    <w:rsid w:val="00090DDB"/>
    <w:rsid w:val="000A7887"/>
    <w:rsid w:val="00115EC6"/>
    <w:rsid w:val="001373FA"/>
    <w:rsid w:val="002C2279"/>
    <w:rsid w:val="002E50B0"/>
    <w:rsid w:val="0036658E"/>
    <w:rsid w:val="00692FB8"/>
    <w:rsid w:val="007948B2"/>
    <w:rsid w:val="008D70DF"/>
    <w:rsid w:val="00BA0826"/>
    <w:rsid w:val="00FC2B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F0CEA"/>
  <w15:chartTrackingRefBased/>
  <w15:docId w15:val="{031165E1-BEB6-433A-95C8-F1E8D026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8E"/>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36658E"/>
    <w:pPr>
      <w:numPr>
        <w:numId w:val="1"/>
      </w:numPr>
      <w:outlineLvl w:val="0"/>
    </w:pPr>
    <w:rPr>
      <w:b/>
      <w:bCs/>
      <w:sz w:val="20"/>
      <w:szCs w:val="20"/>
    </w:rPr>
  </w:style>
  <w:style w:type="paragraph" w:styleId="Heading2">
    <w:name w:val="heading 2"/>
    <w:basedOn w:val="Normal"/>
    <w:next w:val="Normal"/>
    <w:link w:val="Heading2Char"/>
    <w:uiPriority w:val="9"/>
    <w:unhideWhenUsed/>
    <w:qFormat/>
    <w:rsid w:val="0036658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658E"/>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6658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6658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6658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6658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6658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658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58E"/>
    <w:rPr>
      <w:rFonts w:ascii="Arial" w:eastAsia="Arial" w:hAnsi="Arial" w:cs="Arial"/>
      <w:b/>
      <w:bCs/>
      <w:sz w:val="20"/>
      <w:szCs w:val="20"/>
    </w:rPr>
  </w:style>
  <w:style w:type="character" w:customStyle="1" w:styleId="Heading2Char">
    <w:name w:val="Heading 2 Char"/>
    <w:basedOn w:val="DefaultParagraphFont"/>
    <w:link w:val="Heading2"/>
    <w:uiPriority w:val="9"/>
    <w:rsid w:val="003665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65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6658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6658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665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665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665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6658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36658E"/>
    <w:rPr>
      <w:sz w:val="20"/>
      <w:szCs w:val="20"/>
    </w:rPr>
  </w:style>
  <w:style w:type="character" w:customStyle="1" w:styleId="BodyTextChar">
    <w:name w:val="Body Text Char"/>
    <w:basedOn w:val="DefaultParagraphFont"/>
    <w:link w:val="BodyText"/>
    <w:uiPriority w:val="1"/>
    <w:rsid w:val="0036658E"/>
    <w:rPr>
      <w:rFonts w:ascii="Arial" w:eastAsia="Arial" w:hAnsi="Arial" w:cs="Arial"/>
      <w:sz w:val="20"/>
      <w:szCs w:val="20"/>
    </w:rPr>
  </w:style>
  <w:style w:type="paragraph" w:styleId="ListParagraph">
    <w:name w:val="List Paragraph"/>
    <w:basedOn w:val="Normal"/>
    <w:link w:val="ListParagraphChar"/>
    <w:uiPriority w:val="34"/>
    <w:qFormat/>
    <w:rsid w:val="0036658E"/>
    <w:pPr>
      <w:ind w:left="480" w:hanging="361"/>
    </w:pPr>
  </w:style>
  <w:style w:type="paragraph" w:customStyle="1" w:styleId="TableParagraph">
    <w:name w:val="Table Paragraph"/>
    <w:basedOn w:val="Normal"/>
    <w:uiPriority w:val="1"/>
    <w:qFormat/>
    <w:rsid w:val="0036658E"/>
    <w:pPr>
      <w:spacing w:before="76"/>
      <w:ind w:left="107"/>
    </w:pPr>
  </w:style>
  <w:style w:type="paragraph" w:styleId="Header">
    <w:name w:val="header"/>
    <w:basedOn w:val="Normal"/>
    <w:link w:val="HeaderChar"/>
    <w:unhideWhenUsed/>
    <w:rsid w:val="0036658E"/>
    <w:pPr>
      <w:tabs>
        <w:tab w:val="center" w:pos="4680"/>
        <w:tab w:val="right" w:pos="9360"/>
      </w:tabs>
    </w:pPr>
  </w:style>
  <w:style w:type="character" w:customStyle="1" w:styleId="HeaderChar">
    <w:name w:val="Header Char"/>
    <w:basedOn w:val="DefaultParagraphFont"/>
    <w:link w:val="Header"/>
    <w:rsid w:val="0036658E"/>
    <w:rPr>
      <w:rFonts w:ascii="Arial" w:eastAsia="Arial" w:hAnsi="Arial" w:cs="Arial"/>
    </w:rPr>
  </w:style>
  <w:style w:type="paragraph" w:styleId="Footer">
    <w:name w:val="footer"/>
    <w:basedOn w:val="Normal"/>
    <w:link w:val="FooterChar"/>
    <w:uiPriority w:val="99"/>
    <w:unhideWhenUsed/>
    <w:rsid w:val="0036658E"/>
    <w:pPr>
      <w:tabs>
        <w:tab w:val="center" w:pos="4680"/>
        <w:tab w:val="right" w:pos="9360"/>
      </w:tabs>
    </w:pPr>
  </w:style>
  <w:style w:type="character" w:customStyle="1" w:styleId="FooterChar">
    <w:name w:val="Footer Char"/>
    <w:basedOn w:val="DefaultParagraphFont"/>
    <w:link w:val="Footer"/>
    <w:uiPriority w:val="99"/>
    <w:rsid w:val="0036658E"/>
    <w:rPr>
      <w:rFonts w:ascii="Arial" w:eastAsia="Arial" w:hAnsi="Arial" w:cs="Arial"/>
    </w:rPr>
  </w:style>
  <w:style w:type="character" w:customStyle="1" w:styleId="ListParagraphChar">
    <w:name w:val="List Paragraph Char"/>
    <w:basedOn w:val="DefaultParagraphFont"/>
    <w:link w:val="ListParagraph"/>
    <w:uiPriority w:val="34"/>
    <w:locked/>
    <w:rsid w:val="0036658E"/>
    <w:rPr>
      <w:rFonts w:ascii="Arial" w:eastAsia="Arial" w:hAnsi="Arial" w:cs="Arial"/>
    </w:rPr>
  </w:style>
  <w:style w:type="paragraph" w:styleId="PlainText">
    <w:name w:val="Plain Text"/>
    <w:basedOn w:val="Normal"/>
    <w:link w:val="PlainTextChar"/>
    <w:rsid w:val="0036658E"/>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6658E"/>
    <w:rPr>
      <w:rFonts w:ascii="Courier New" w:eastAsia="Times New Roman" w:hAnsi="Courier New" w:cs="Times New Roman"/>
      <w:sz w:val="20"/>
      <w:szCs w:val="20"/>
      <w:lang w:val="en-US"/>
    </w:rPr>
  </w:style>
  <w:style w:type="table" w:styleId="TableGrid">
    <w:name w:val="Table Grid"/>
    <w:aliases w:val="MNP,Proposal,Header Row"/>
    <w:basedOn w:val="TableNormal"/>
    <w:uiPriority w:val="59"/>
    <w:rsid w:val="0036658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TNumbered123">
    <w:name w:val="IT Numbered 123"/>
    <w:basedOn w:val="ListParagraph"/>
    <w:qFormat/>
    <w:rsid w:val="0036658E"/>
    <w:pPr>
      <w:widowControl/>
      <w:numPr>
        <w:numId w:val="8"/>
      </w:numPr>
      <w:autoSpaceDE/>
      <w:autoSpaceDN/>
      <w:spacing w:before="240" w:after="60" w:line="276" w:lineRule="auto"/>
    </w:pPr>
    <w:rPr>
      <w:rFonts w:eastAsia="Times New Roman"/>
      <w:b/>
      <w:sz w:val="20"/>
      <w:szCs w:val="24"/>
    </w:rPr>
  </w:style>
  <w:style w:type="paragraph" w:customStyle="1" w:styleId="ListParagraphNumbering">
    <w:name w:val="List Paragraph Numbering"/>
    <w:basedOn w:val="PlainText"/>
    <w:link w:val="ListParagraphNumberingChar"/>
    <w:qFormat/>
    <w:rsid w:val="0036658E"/>
    <w:pPr>
      <w:numPr>
        <w:ilvl w:val="1"/>
        <w:numId w:val="7"/>
      </w:numPr>
      <w:spacing w:before="240" w:after="120"/>
    </w:pPr>
    <w:rPr>
      <w:rFonts w:ascii="Arial" w:eastAsia="MS Mincho" w:hAnsi="Arial" w:cs="Arial"/>
    </w:rPr>
  </w:style>
  <w:style w:type="character" w:customStyle="1" w:styleId="ListParagraphNumberingChar">
    <w:name w:val="List Paragraph Numbering Char"/>
    <w:basedOn w:val="PlainTextChar"/>
    <w:link w:val="ListParagraphNumbering"/>
    <w:rsid w:val="0036658E"/>
    <w:rPr>
      <w:rFonts w:ascii="Arial" w:eastAsia="MS Mincho" w:hAnsi="Arial" w:cs="Arial"/>
      <w:sz w:val="20"/>
      <w:szCs w:val="20"/>
      <w:lang w:val="en-US"/>
    </w:rPr>
  </w:style>
  <w:style w:type="paragraph" w:styleId="BalloonText">
    <w:name w:val="Balloon Text"/>
    <w:basedOn w:val="Normal"/>
    <w:link w:val="BalloonTextChar"/>
    <w:uiPriority w:val="99"/>
    <w:semiHidden/>
    <w:unhideWhenUsed/>
    <w:rsid w:val="00692F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B8"/>
    <w:rPr>
      <w:rFonts w:ascii="Segoe UI" w:eastAsia="Arial" w:hAnsi="Segoe UI" w:cs="Segoe UI"/>
      <w:sz w:val="18"/>
      <w:szCs w:val="18"/>
    </w:rPr>
  </w:style>
  <w:style w:type="paragraph" w:styleId="Revision">
    <w:name w:val="Revision"/>
    <w:hidden/>
    <w:uiPriority w:val="99"/>
    <w:semiHidden/>
    <w:rsid w:val="00BA0826"/>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BA0826"/>
    <w:rPr>
      <w:sz w:val="16"/>
      <w:szCs w:val="16"/>
    </w:rPr>
  </w:style>
  <w:style w:type="paragraph" w:styleId="CommentText">
    <w:name w:val="annotation text"/>
    <w:basedOn w:val="Normal"/>
    <w:link w:val="CommentTextChar"/>
    <w:uiPriority w:val="99"/>
    <w:semiHidden/>
    <w:unhideWhenUsed/>
    <w:rsid w:val="00BA0826"/>
    <w:rPr>
      <w:sz w:val="20"/>
      <w:szCs w:val="20"/>
    </w:rPr>
  </w:style>
  <w:style w:type="character" w:customStyle="1" w:styleId="CommentTextChar">
    <w:name w:val="Comment Text Char"/>
    <w:basedOn w:val="DefaultParagraphFont"/>
    <w:link w:val="CommentText"/>
    <w:uiPriority w:val="99"/>
    <w:semiHidden/>
    <w:rsid w:val="00BA082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A0826"/>
    <w:rPr>
      <w:b/>
      <w:bCs/>
    </w:rPr>
  </w:style>
  <w:style w:type="character" w:customStyle="1" w:styleId="CommentSubjectChar">
    <w:name w:val="Comment Subject Char"/>
    <w:basedOn w:val="CommentTextChar"/>
    <w:link w:val="CommentSubject"/>
    <w:uiPriority w:val="99"/>
    <w:semiHidden/>
    <w:rsid w:val="00BA082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google.ca/url?sa=i&amp;rct=j&amp;q=&amp;esrc=s&amp;frm=1&amp;source=images&amp;cd=&amp;cad=rja&amp;docid=zfrghTcucyZodM&amp;tbnid=NXw78uSla2yARM:&amp;ved=0CAUQjRw&amp;url=https://www.gprc.ab.ca/alumni/inside_out/2013/dec_issue2.html&amp;ei=yB8UU6DvPKGCyQHZ14DwBg&amp;bvm=bv.61965928,d.aWc&amp;psig=AFQjCNEVWB_bykWxcAzYcoGDcBVECZLH3A&amp;ust=1393913973566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Ayanleke, Anuoluwapo</dc:creator>
  <cp:keywords/>
  <dc:description/>
  <cp:lastModifiedBy>Shannon</cp:lastModifiedBy>
  <cp:revision>10</cp:revision>
  <dcterms:created xsi:type="dcterms:W3CDTF">2022-07-26T17:56:00Z</dcterms:created>
  <dcterms:modified xsi:type="dcterms:W3CDTF">2023-10-25T16:47:00Z</dcterms:modified>
</cp:coreProperties>
</file>